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12" w:type="dxa"/>
        <w:tblLayout w:type="fixed"/>
        <w:tblCellMar>
          <w:left w:w="0" w:type="dxa"/>
          <w:right w:w="0" w:type="dxa"/>
        </w:tblCellMar>
        <w:tblLook w:val="01E0" w:firstRow="1" w:lastRow="1" w:firstColumn="1" w:lastColumn="1" w:noHBand="0" w:noVBand="0"/>
      </w:tblPr>
      <w:tblGrid>
        <w:gridCol w:w="6435"/>
        <w:gridCol w:w="1023"/>
      </w:tblGrid>
      <w:tr w:rsidR="000D1D28" w:rsidRPr="000D1D28" w14:paraId="66EEF33E" w14:textId="77777777" w:rsidTr="00EA3ED0">
        <w:trPr>
          <w:trHeight w:val="628"/>
        </w:trPr>
        <w:tc>
          <w:tcPr>
            <w:tcW w:w="6435" w:type="dxa"/>
            <w:tcBorders>
              <w:top w:val="single" w:sz="4" w:space="0" w:color="E26C09"/>
              <w:left w:val="single" w:sz="4" w:space="0" w:color="E26C09"/>
              <w:bottom w:val="single" w:sz="4" w:space="0" w:color="E26C09"/>
            </w:tcBorders>
          </w:tcPr>
          <w:p w14:paraId="410EDEAD" w14:textId="77777777" w:rsidR="000D1D28" w:rsidRPr="000D1D28" w:rsidRDefault="000D1D28" w:rsidP="000D1D28">
            <w:pPr>
              <w:widowControl w:val="0"/>
              <w:autoSpaceDE w:val="0"/>
              <w:autoSpaceDN w:val="0"/>
              <w:spacing w:before="79" w:after="0" w:line="240" w:lineRule="auto"/>
              <w:ind w:left="184"/>
              <w:rPr>
                <w:rFonts w:eastAsia="Arial" w:cs="Calibri"/>
                <w:b/>
                <w:sz w:val="40"/>
                <w:lang w:val="en-US"/>
              </w:rPr>
            </w:pPr>
            <w:r w:rsidRPr="000D1D28">
              <w:rPr>
                <w:rFonts w:eastAsia="Arial" w:cs="Calibri"/>
                <w:b/>
                <w:color w:val="E26C09"/>
                <w:sz w:val="40"/>
                <w:lang w:val="en-US"/>
              </w:rPr>
              <w:t>Leicestershire and Rutland ALC</w:t>
            </w:r>
          </w:p>
        </w:tc>
        <w:tc>
          <w:tcPr>
            <w:tcW w:w="1023" w:type="dxa"/>
            <w:shd w:val="clear" w:color="auto" w:fill="E26C09"/>
          </w:tcPr>
          <w:p w14:paraId="728156E1" w14:textId="77777777" w:rsidR="000D1D28" w:rsidRPr="000D1D28" w:rsidRDefault="000D1D28" w:rsidP="000D1D28">
            <w:pPr>
              <w:widowControl w:val="0"/>
              <w:autoSpaceDE w:val="0"/>
              <w:autoSpaceDN w:val="0"/>
              <w:spacing w:before="79" w:after="0" w:line="240" w:lineRule="auto"/>
              <w:ind w:left="182"/>
              <w:rPr>
                <w:rFonts w:eastAsia="Arial" w:cs="Calibri"/>
                <w:b/>
                <w:sz w:val="40"/>
                <w:lang w:val="en-US"/>
              </w:rPr>
            </w:pPr>
            <w:r w:rsidRPr="000D1D28">
              <w:rPr>
                <w:rFonts w:eastAsia="Arial" w:cs="Calibri"/>
                <w:b/>
                <w:color w:val="FFFFFF"/>
                <w:sz w:val="40"/>
                <w:lang w:val="en-US"/>
              </w:rPr>
              <w:t>IAS</w:t>
            </w:r>
          </w:p>
        </w:tc>
      </w:tr>
    </w:tbl>
    <w:p w14:paraId="1F6475AD" w14:textId="77777777" w:rsidR="00B22D4E" w:rsidRPr="00024417" w:rsidRDefault="00B22D4E">
      <w:pPr>
        <w:rPr>
          <w:rFonts w:ascii="Arial" w:hAnsi="Arial" w:cs="Arial"/>
        </w:rPr>
      </w:pPr>
    </w:p>
    <w:p w14:paraId="6C033195" w14:textId="77777777" w:rsidR="00C308D2" w:rsidRPr="00437B45" w:rsidRDefault="00C308D2" w:rsidP="00C308D2">
      <w:pPr>
        <w:pStyle w:val="NoSpacing"/>
        <w:jc w:val="center"/>
        <w:rPr>
          <w:rFonts w:ascii="Arial" w:hAnsi="Arial" w:cs="Arial"/>
          <w:b/>
        </w:rPr>
      </w:pPr>
      <w:r w:rsidRPr="00437B45">
        <w:rPr>
          <w:rFonts w:ascii="Arial" w:hAnsi="Arial" w:cs="Arial"/>
          <w:b/>
          <w:sz w:val="40"/>
        </w:rPr>
        <w:t>Internal Audit Report</w:t>
      </w:r>
    </w:p>
    <w:p w14:paraId="519202C2" w14:textId="64EB1278" w:rsidR="00C308D2" w:rsidRPr="00310392" w:rsidRDefault="00C308D2" w:rsidP="00C308D2">
      <w:pPr>
        <w:pStyle w:val="NoSpacing"/>
        <w:jc w:val="center"/>
        <w:rPr>
          <w:rFonts w:ascii="Arial" w:hAnsi="Arial" w:cs="Arial"/>
          <w:sz w:val="20"/>
        </w:rPr>
      </w:pPr>
      <w:r w:rsidRPr="00310392">
        <w:rPr>
          <w:rFonts w:ascii="Arial" w:hAnsi="Arial" w:cs="Arial"/>
          <w:sz w:val="20"/>
        </w:rPr>
        <w:t>(</w:t>
      </w:r>
      <w:r w:rsidR="00FC4D90" w:rsidRPr="00310392">
        <w:rPr>
          <w:rFonts w:ascii="Arial" w:hAnsi="Arial" w:cs="Arial"/>
          <w:sz w:val="20"/>
        </w:rPr>
        <w:t>To</w:t>
      </w:r>
      <w:r w:rsidRPr="00310392">
        <w:rPr>
          <w:rFonts w:ascii="Arial" w:hAnsi="Arial" w:cs="Arial"/>
          <w:sz w:val="20"/>
        </w:rPr>
        <w:t xml:space="preserve"> be read in conjunction with </w:t>
      </w:r>
      <w:r w:rsidR="007D4ABE">
        <w:rPr>
          <w:rFonts w:ascii="Arial" w:hAnsi="Arial" w:cs="Arial"/>
          <w:sz w:val="20"/>
        </w:rPr>
        <w:t xml:space="preserve">the </w:t>
      </w:r>
      <w:r w:rsidR="007D4ABE" w:rsidRPr="007D4ABE">
        <w:rPr>
          <w:rFonts w:ascii="Arial" w:hAnsi="Arial" w:cs="Arial"/>
          <w:sz w:val="20"/>
        </w:rPr>
        <w:t>Annual Internal Audit Report</w:t>
      </w:r>
      <w:r w:rsidRPr="00310392">
        <w:rPr>
          <w:rFonts w:ascii="Arial" w:hAnsi="Arial" w:cs="Arial"/>
          <w:sz w:val="20"/>
        </w:rPr>
        <w:t xml:space="preserve"> </w:t>
      </w:r>
      <w:r w:rsidR="007D4ABE">
        <w:rPr>
          <w:rFonts w:ascii="Arial" w:hAnsi="Arial" w:cs="Arial"/>
          <w:sz w:val="20"/>
        </w:rPr>
        <w:t>in the</w:t>
      </w:r>
      <w:r w:rsidR="007D4ABE">
        <w:rPr>
          <w:rFonts w:ascii="Arial" w:hAnsi="Arial" w:cs="Arial"/>
          <w:sz w:val="20"/>
        </w:rPr>
        <w:br/>
      </w:r>
      <w:r w:rsidRPr="00310392">
        <w:rPr>
          <w:rFonts w:ascii="Arial" w:hAnsi="Arial" w:cs="Arial"/>
          <w:sz w:val="20"/>
        </w:rPr>
        <w:t xml:space="preserve">Annual </w:t>
      </w:r>
      <w:r w:rsidR="007D4ABE">
        <w:rPr>
          <w:rFonts w:ascii="Arial" w:hAnsi="Arial" w:cs="Arial"/>
          <w:sz w:val="20"/>
        </w:rPr>
        <w:t xml:space="preserve">Governance and Accountability </w:t>
      </w:r>
      <w:r w:rsidRPr="00310392">
        <w:rPr>
          <w:rFonts w:ascii="Arial" w:hAnsi="Arial" w:cs="Arial"/>
          <w:sz w:val="20"/>
        </w:rPr>
        <w:t>Return)</w:t>
      </w:r>
    </w:p>
    <w:p w14:paraId="6980C063" w14:textId="77777777" w:rsidR="00C308D2" w:rsidRPr="00437B45" w:rsidRDefault="00C308D2" w:rsidP="00C308D2">
      <w:pPr>
        <w:pStyle w:val="NoSpacing"/>
        <w:jc w:val="center"/>
        <w:rPr>
          <w:rFonts w:ascii="Arial" w:hAnsi="Arial" w:cs="Arial"/>
        </w:rPr>
      </w:pPr>
    </w:p>
    <w:p w14:paraId="0B619619" w14:textId="77777777" w:rsidR="00C308D2" w:rsidRPr="00437B45" w:rsidRDefault="00C308D2" w:rsidP="00C308D2">
      <w:pPr>
        <w:pStyle w:val="NoSpacing"/>
        <w:jc w:val="center"/>
        <w:rPr>
          <w:rFonts w:ascii="Arial" w:hAnsi="Arial" w:cs="Arial"/>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6"/>
        <w:gridCol w:w="2104"/>
        <w:gridCol w:w="2361"/>
        <w:gridCol w:w="2020"/>
      </w:tblGrid>
      <w:tr w:rsidR="00437B45" w:rsidRPr="00024417" w14:paraId="128B723E" w14:textId="77777777" w:rsidTr="006E3B2F">
        <w:tc>
          <w:tcPr>
            <w:tcW w:w="2616" w:type="dxa"/>
            <w:shd w:val="clear" w:color="auto" w:fill="auto"/>
            <w:tcMar>
              <w:top w:w="85" w:type="dxa"/>
              <w:left w:w="85" w:type="dxa"/>
              <w:bottom w:w="85" w:type="dxa"/>
              <w:right w:w="85" w:type="dxa"/>
            </w:tcMar>
          </w:tcPr>
          <w:p w14:paraId="39C7E16C" w14:textId="77777777" w:rsidR="00437B45" w:rsidRPr="00024417" w:rsidRDefault="00437B45" w:rsidP="00437B45">
            <w:pPr>
              <w:pStyle w:val="NoSpacing"/>
              <w:rPr>
                <w:rFonts w:ascii="Arial" w:hAnsi="Arial" w:cs="Arial"/>
              </w:rPr>
            </w:pPr>
            <w:r w:rsidRPr="00024417">
              <w:rPr>
                <w:rFonts w:ascii="Arial" w:hAnsi="Arial" w:cs="Arial"/>
              </w:rPr>
              <w:t>Name of council:</w:t>
            </w:r>
          </w:p>
        </w:tc>
        <w:tc>
          <w:tcPr>
            <w:tcW w:w="6485" w:type="dxa"/>
            <w:gridSpan w:val="3"/>
            <w:shd w:val="clear" w:color="auto" w:fill="auto"/>
            <w:tcMar>
              <w:top w:w="85" w:type="dxa"/>
              <w:left w:w="85" w:type="dxa"/>
              <w:bottom w:w="85" w:type="dxa"/>
              <w:right w:w="85" w:type="dxa"/>
            </w:tcMar>
          </w:tcPr>
          <w:p w14:paraId="441FC9BF" w14:textId="26D04DD2" w:rsidR="00437B45" w:rsidRPr="00024417" w:rsidRDefault="006E3B2F" w:rsidP="00437B45">
            <w:pPr>
              <w:pStyle w:val="NoSpacing"/>
              <w:rPr>
                <w:rFonts w:ascii="Arial" w:hAnsi="Arial" w:cs="Arial"/>
              </w:rPr>
            </w:pPr>
            <w:r>
              <w:rPr>
                <w:rFonts w:ascii="Arial" w:hAnsi="Arial" w:cs="Arial"/>
              </w:rPr>
              <w:t>GREETHAM PC</w:t>
            </w:r>
          </w:p>
        </w:tc>
      </w:tr>
      <w:tr w:rsidR="00A716FB" w:rsidRPr="00024417" w14:paraId="3EB497AB" w14:textId="77777777" w:rsidTr="006E3B2F">
        <w:tc>
          <w:tcPr>
            <w:tcW w:w="2616" w:type="dxa"/>
            <w:shd w:val="clear" w:color="auto" w:fill="auto"/>
            <w:tcMar>
              <w:top w:w="85" w:type="dxa"/>
              <w:left w:w="85" w:type="dxa"/>
              <w:bottom w:w="85" w:type="dxa"/>
              <w:right w:w="85" w:type="dxa"/>
            </w:tcMar>
          </w:tcPr>
          <w:p w14:paraId="0AAA5D70" w14:textId="77777777" w:rsidR="00C308D2" w:rsidRPr="00024417" w:rsidRDefault="00C308D2" w:rsidP="00437B45">
            <w:pPr>
              <w:pStyle w:val="NoSpacing"/>
              <w:rPr>
                <w:rFonts w:ascii="Arial" w:hAnsi="Arial" w:cs="Arial"/>
              </w:rPr>
            </w:pPr>
            <w:r w:rsidRPr="00024417">
              <w:rPr>
                <w:rFonts w:ascii="Arial" w:hAnsi="Arial" w:cs="Arial"/>
              </w:rPr>
              <w:t>Name of Internal Auditor:</w:t>
            </w:r>
          </w:p>
        </w:tc>
        <w:tc>
          <w:tcPr>
            <w:tcW w:w="2104" w:type="dxa"/>
            <w:shd w:val="clear" w:color="auto" w:fill="auto"/>
            <w:tcMar>
              <w:top w:w="85" w:type="dxa"/>
              <w:left w:w="85" w:type="dxa"/>
              <w:bottom w:w="85" w:type="dxa"/>
              <w:right w:w="85" w:type="dxa"/>
            </w:tcMar>
          </w:tcPr>
          <w:p w14:paraId="44CF4BE8" w14:textId="54F3EB06" w:rsidR="00C308D2" w:rsidRPr="00024417" w:rsidRDefault="006E3B2F" w:rsidP="00437B45">
            <w:pPr>
              <w:pStyle w:val="NoSpacing"/>
              <w:rPr>
                <w:rFonts w:ascii="Arial" w:hAnsi="Arial" w:cs="Arial"/>
              </w:rPr>
            </w:pPr>
            <w:r>
              <w:rPr>
                <w:rFonts w:ascii="Arial" w:hAnsi="Arial" w:cs="Arial"/>
              </w:rPr>
              <w:t>STUART MCDONALD</w:t>
            </w:r>
          </w:p>
        </w:tc>
        <w:tc>
          <w:tcPr>
            <w:tcW w:w="2361" w:type="dxa"/>
            <w:shd w:val="clear" w:color="auto" w:fill="auto"/>
            <w:tcMar>
              <w:top w:w="85" w:type="dxa"/>
              <w:left w:w="85" w:type="dxa"/>
              <w:bottom w:w="85" w:type="dxa"/>
              <w:right w:w="85" w:type="dxa"/>
            </w:tcMar>
          </w:tcPr>
          <w:p w14:paraId="5F9FE24A" w14:textId="77777777" w:rsidR="00C308D2" w:rsidRPr="00024417" w:rsidRDefault="00C308D2" w:rsidP="00437B45">
            <w:pPr>
              <w:pStyle w:val="NoSpacing"/>
              <w:rPr>
                <w:rFonts w:ascii="Arial" w:hAnsi="Arial" w:cs="Arial"/>
              </w:rPr>
            </w:pPr>
            <w:r w:rsidRPr="00024417">
              <w:rPr>
                <w:rFonts w:ascii="Arial" w:hAnsi="Arial" w:cs="Arial"/>
              </w:rPr>
              <w:t>Date of report:</w:t>
            </w:r>
          </w:p>
        </w:tc>
        <w:tc>
          <w:tcPr>
            <w:tcW w:w="2020" w:type="dxa"/>
            <w:shd w:val="clear" w:color="auto" w:fill="auto"/>
            <w:tcMar>
              <w:top w:w="85" w:type="dxa"/>
              <w:left w:w="85" w:type="dxa"/>
              <w:bottom w:w="85" w:type="dxa"/>
              <w:right w:w="85" w:type="dxa"/>
            </w:tcMar>
          </w:tcPr>
          <w:p w14:paraId="13B91703" w14:textId="27F5BE13" w:rsidR="00C308D2" w:rsidRPr="00024417" w:rsidRDefault="006E3B2F" w:rsidP="00437B45">
            <w:pPr>
              <w:pStyle w:val="NoSpacing"/>
              <w:rPr>
                <w:rFonts w:ascii="Arial" w:hAnsi="Arial" w:cs="Arial"/>
              </w:rPr>
            </w:pPr>
            <w:r>
              <w:rPr>
                <w:rFonts w:ascii="Arial" w:hAnsi="Arial" w:cs="Arial"/>
              </w:rPr>
              <w:t>4/5/22</w:t>
            </w:r>
          </w:p>
        </w:tc>
      </w:tr>
      <w:tr w:rsidR="00A716FB" w:rsidRPr="00024417" w14:paraId="49037DCB" w14:textId="77777777" w:rsidTr="006E3B2F">
        <w:tc>
          <w:tcPr>
            <w:tcW w:w="2616" w:type="dxa"/>
            <w:shd w:val="clear" w:color="auto" w:fill="auto"/>
            <w:tcMar>
              <w:top w:w="85" w:type="dxa"/>
              <w:left w:w="85" w:type="dxa"/>
              <w:bottom w:w="85" w:type="dxa"/>
              <w:right w:w="85" w:type="dxa"/>
            </w:tcMar>
          </w:tcPr>
          <w:p w14:paraId="312B6333" w14:textId="77777777" w:rsidR="00C308D2" w:rsidRPr="00024417" w:rsidRDefault="00310392" w:rsidP="00437B45">
            <w:pPr>
              <w:pStyle w:val="NoSpacing"/>
              <w:rPr>
                <w:rFonts w:ascii="Arial" w:hAnsi="Arial" w:cs="Arial"/>
              </w:rPr>
            </w:pPr>
            <w:r w:rsidRPr="00024417">
              <w:rPr>
                <w:rFonts w:ascii="Arial" w:hAnsi="Arial" w:cs="Arial"/>
              </w:rPr>
              <w:t>Year ending:</w:t>
            </w:r>
          </w:p>
        </w:tc>
        <w:tc>
          <w:tcPr>
            <w:tcW w:w="2104" w:type="dxa"/>
            <w:shd w:val="clear" w:color="auto" w:fill="auto"/>
            <w:tcMar>
              <w:top w:w="85" w:type="dxa"/>
              <w:left w:w="85" w:type="dxa"/>
              <w:bottom w:w="85" w:type="dxa"/>
              <w:right w:w="85" w:type="dxa"/>
            </w:tcMar>
          </w:tcPr>
          <w:p w14:paraId="68895A77" w14:textId="06CFCCB0" w:rsidR="00C308D2" w:rsidRPr="00024417" w:rsidRDefault="00310392" w:rsidP="007D4ABE">
            <w:pPr>
              <w:pStyle w:val="NoSpacing"/>
              <w:rPr>
                <w:rFonts w:ascii="Arial" w:hAnsi="Arial" w:cs="Arial"/>
              </w:rPr>
            </w:pPr>
            <w:r w:rsidRPr="00024417">
              <w:rPr>
                <w:rFonts w:ascii="Arial" w:hAnsi="Arial" w:cs="Arial"/>
              </w:rPr>
              <w:t>31 March 20</w:t>
            </w:r>
            <w:r w:rsidR="00ED56DA">
              <w:rPr>
                <w:rFonts w:ascii="Arial" w:hAnsi="Arial" w:cs="Arial"/>
              </w:rPr>
              <w:t>2</w:t>
            </w:r>
            <w:r w:rsidR="00593D83">
              <w:rPr>
                <w:rFonts w:ascii="Arial" w:hAnsi="Arial" w:cs="Arial"/>
              </w:rPr>
              <w:t>2</w:t>
            </w:r>
          </w:p>
        </w:tc>
        <w:tc>
          <w:tcPr>
            <w:tcW w:w="2361" w:type="dxa"/>
            <w:shd w:val="clear" w:color="auto" w:fill="auto"/>
            <w:tcMar>
              <w:top w:w="85" w:type="dxa"/>
              <w:left w:w="85" w:type="dxa"/>
              <w:bottom w:w="85" w:type="dxa"/>
              <w:right w:w="85" w:type="dxa"/>
            </w:tcMar>
          </w:tcPr>
          <w:p w14:paraId="7860773F" w14:textId="77777777" w:rsidR="00C308D2" w:rsidRPr="00024417" w:rsidRDefault="00766395" w:rsidP="00437B45">
            <w:pPr>
              <w:pStyle w:val="NoSpacing"/>
              <w:rPr>
                <w:rFonts w:ascii="Arial" w:hAnsi="Arial" w:cs="Arial"/>
              </w:rPr>
            </w:pPr>
            <w:r w:rsidRPr="00024417">
              <w:rPr>
                <w:rFonts w:ascii="Arial" w:hAnsi="Arial" w:cs="Arial"/>
              </w:rPr>
              <w:t>Date audit carried out:</w:t>
            </w:r>
          </w:p>
        </w:tc>
        <w:tc>
          <w:tcPr>
            <w:tcW w:w="2020" w:type="dxa"/>
            <w:shd w:val="clear" w:color="auto" w:fill="auto"/>
            <w:tcMar>
              <w:top w:w="85" w:type="dxa"/>
              <w:left w:w="85" w:type="dxa"/>
              <w:bottom w:w="85" w:type="dxa"/>
              <w:right w:w="85" w:type="dxa"/>
            </w:tcMar>
          </w:tcPr>
          <w:p w14:paraId="27CB9AEF" w14:textId="1FF10541" w:rsidR="00C308D2" w:rsidRPr="00024417" w:rsidRDefault="006E3B2F" w:rsidP="00437B45">
            <w:pPr>
              <w:pStyle w:val="NoSpacing"/>
              <w:rPr>
                <w:rFonts w:ascii="Arial" w:hAnsi="Arial" w:cs="Arial"/>
              </w:rPr>
            </w:pPr>
            <w:r>
              <w:rPr>
                <w:rFonts w:ascii="Arial" w:hAnsi="Arial" w:cs="Arial"/>
              </w:rPr>
              <w:t>4/5/22</w:t>
            </w:r>
          </w:p>
        </w:tc>
      </w:tr>
    </w:tbl>
    <w:p w14:paraId="25FDACB7" w14:textId="77777777" w:rsidR="00C308D2" w:rsidRPr="00437B45" w:rsidRDefault="00C308D2" w:rsidP="00C308D2">
      <w:pPr>
        <w:pStyle w:val="NoSpacing"/>
        <w:jc w:val="center"/>
        <w:rPr>
          <w:rFonts w:ascii="Arial" w:hAnsi="Arial" w:cs="Arial"/>
        </w:rPr>
      </w:pPr>
    </w:p>
    <w:p w14:paraId="0FD7A567" w14:textId="77777777" w:rsidR="00C308D2" w:rsidRPr="00024417" w:rsidRDefault="00C308D2" w:rsidP="00C308D2">
      <w:pPr>
        <w:pStyle w:val="NoSpacing"/>
        <w:jc w:val="center"/>
        <w:rPr>
          <w:rFonts w:ascii="Arial" w:hAnsi="Arial" w:cs="Arial"/>
          <w:sz w:val="18"/>
        </w:rPr>
      </w:pPr>
    </w:p>
    <w:p w14:paraId="5EF10761" w14:textId="77777777" w:rsidR="00024417" w:rsidRPr="00310392" w:rsidRDefault="00654DE9" w:rsidP="00FC4D90">
      <w:pPr>
        <w:pStyle w:val="NoSpacing"/>
        <w:jc w:val="both"/>
        <w:rPr>
          <w:rFonts w:ascii="Arial" w:hAnsi="Arial" w:cs="Arial"/>
          <w:i/>
          <w:sz w:val="20"/>
        </w:rPr>
      </w:pPr>
      <w:r w:rsidRPr="00654DE9">
        <w:rPr>
          <w:rFonts w:ascii="Arial" w:hAnsi="Arial" w:cs="Arial"/>
          <w:i/>
          <w:sz w:val="20"/>
        </w:rPr>
        <w:t xml:space="preserve">Internal audit is the periodic independent review of a council’s internal controls resulting in an assurance report designed to improve the effectiveness and efficiency of the activities and operating procedures under the council’s control. </w:t>
      </w:r>
      <w:r>
        <w:rPr>
          <w:rFonts w:ascii="Arial" w:hAnsi="Arial" w:cs="Arial"/>
          <w:i/>
          <w:sz w:val="20"/>
        </w:rPr>
        <w:t xml:space="preserve"> M</w:t>
      </w:r>
      <w:r w:rsidRPr="00654DE9">
        <w:rPr>
          <w:rFonts w:ascii="Arial" w:hAnsi="Arial" w:cs="Arial"/>
          <w:i/>
          <w:sz w:val="20"/>
        </w:rPr>
        <w:t xml:space="preserve">anaging the council’s internal controls </w:t>
      </w:r>
      <w:r w:rsidR="00E161C6">
        <w:rPr>
          <w:rFonts w:ascii="Arial" w:hAnsi="Arial" w:cs="Arial"/>
          <w:i/>
          <w:sz w:val="20"/>
        </w:rPr>
        <w:t>should be</w:t>
      </w:r>
      <w:r w:rsidRPr="00654DE9">
        <w:rPr>
          <w:rFonts w:ascii="Arial" w:hAnsi="Arial" w:cs="Arial"/>
          <w:i/>
          <w:sz w:val="20"/>
        </w:rPr>
        <w:t xml:space="preserve"> a day-to-day function of the council through its staff and </w:t>
      </w:r>
      <w:r w:rsidR="00E161C6">
        <w:rPr>
          <w:rFonts w:ascii="Arial" w:hAnsi="Arial" w:cs="Arial"/>
          <w:i/>
          <w:sz w:val="20"/>
        </w:rPr>
        <w:t>management</w:t>
      </w:r>
      <w:r w:rsidRPr="00654DE9">
        <w:rPr>
          <w:rFonts w:ascii="Arial" w:hAnsi="Arial" w:cs="Arial"/>
          <w:i/>
          <w:sz w:val="20"/>
        </w:rPr>
        <w:t xml:space="preserve"> and</w:t>
      </w:r>
      <w:r w:rsidR="00E161C6">
        <w:rPr>
          <w:rFonts w:ascii="Arial" w:hAnsi="Arial" w:cs="Arial"/>
          <w:i/>
          <w:sz w:val="20"/>
        </w:rPr>
        <w:t xml:space="preserve"> not left for internal audit.  I</w:t>
      </w:r>
      <w:r w:rsidRPr="00654DE9">
        <w:rPr>
          <w:rFonts w:ascii="Arial" w:hAnsi="Arial" w:cs="Arial"/>
          <w:i/>
          <w:sz w:val="20"/>
        </w:rPr>
        <w:t>t would be incorrect to view internal audit as the detailed inspection of all records and transactions of a council in order to detect error or fraud.  This report is based on the evidence made available to me and consequently the report is limited to those matters set out below.</w:t>
      </w:r>
    </w:p>
    <w:p w14:paraId="5FB4FF76" w14:textId="77777777" w:rsidR="00024417" w:rsidRPr="00310392" w:rsidRDefault="00024417" w:rsidP="00FC4D90">
      <w:pPr>
        <w:pStyle w:val="NoSpacing"/>
        <w:jc w:val="both"/>
        <w:rPr>
          <w:rFonts w:ascii="Arial" w:hAnsi="Arial" w:cs="Arial"/>
          <w:i/>
          <w:sz w:val="20"/>
        </w:rPr>
      </w:pPr>
    </w:p>
    <w:p w14:paraId="3DB928EF" w14:textId="77777777" w:rsidR="00024417" w:rsidRDefault="00024417" w:rsidP="00FC4D90">
      <w:pPr>
        <w:pStyle w:val="NoSpacing"/>
        <w:jc w:val="both"/>
        <w:rPr>
          <w:rFonts w:ascii="Arial" w:hAnsi="Arial" w:cs="Arial"/>
          <w:b/>
          <w:i/>
          <w:sz w:val="20"/>
        </w:rPr>
      </w:pPr>
      <w:r w:rsidRPr="00310392">
        <w:rPr>
          <w:rFonts w:ascii="Arial" w:hAnsi="Arial" w:cs="Arial"/>
          <w:b/>
          <w:i/>
          <w:sz w:val="20"/>
        </w:rPr>
        <w:t>The council is required to take appropriate action on all matters raised in reports from internal and external audit and to respond to matters brought to its attention by internal and external audit.</w:t>
      </w:r>
      <w:r>
        <w:rPr>
          <w:rFonts w:ascii="Arial" w:hAnsi="Arial" w:cs="Arial"/>
          <w:b/>
          <w:i/>
          <w:sz w:val="20"/>
        </w:rPr>
        <w:t xml:space="preserve"> Failure to take appropriate action may lead to a qualified audit opinion.</w:t>
      </w:r>
    </w:p>
    <w:p w14:paraId="03643537" w14:textId="77777777" w:rsidR="00024417" w:rsidRDefault="00024417" w:rsidP="00FC4D90">
      <w:pPr>
        <w:pStyle w:val="NoSpacing"/>
        <w:jc w:val="both"/>
        <w:rPr>
          <w:rFonts w:ascii="Arial" w:hAnsi="Arial" w:cs="Arial"/>
          <w:b/>
          <w:i/>
          <w:sz w:val="20"/>
        </w:rPr>
      </w:pPr>
    </w:p>
    <w:p w14:paraId="365A3109" w14:textId="77777777" w:rsidR="00024417" w:rsidRPr="00310392" w:rsidRDefault="00024417" w:rsidP="00FC4D90">
      <w:pPr>
        <w:pStyle w:val="NoSpacing"/>
        <w:jc w:val="both"/>
        <w:rPr>
          <w:rFonts w:ascii="Arial" w:hAnsi="Arial" w:cs="Arial"/>
          <w:b/>
          <w:i/>
          <w:sz w:val="20"/>
        </w:rPr>
      </w:pPr>
    </w:p>
    <w:p w14:paraId="3D17E6A2" w14:textId="77777777" w:rsidR="00C308D2" w:rsidRPr="00437B45" w:rsidRDefault="00C308D2" w:rsidP="00FC4D90">
      <w:pPr>
        <w:pStyle w:val="NoSpacing"/>
        <w:jc w:val="both"/>
        <w:rPr>
          <w:rFonts w:ascii="Arial" w:hAnsi="Arial" w:cs="Arial"/>
          <w:b/>
        </w:rPr>
      </w:pPr>
      <w:r w:rsidRPr="00437B45">
        <w:rPr>
          <w:rFonts w:ascii="Arial" w:hAnsi="Arial" w:cs="Arial"/>
          <w:b/>
        </w:rPr>
        <w:t>To the Chairman of the Council:</w:t>
      </w:r>
    </w:p>
    <w:p w14:paraId="58F7AFD0" w14:textId="77777777" w:rsidR="00C308D2" w:rsidRPr="00437B45" w:rsidRDefault="00C308D2" w:rsidP="00FC4D90">
      <w:pPr>
        <w:pStyle w:val="NoSpacing"/>
        <w:jc w:val="both"/>
        <w:rPr>
          <w:rFonts w:ascii="Arial" w:hAnsi="Arial" w:cs="Arial"/>
        </w:rPr>
      </w:pPr>
    </w:p>
    <w:p w14:paraId="4D749735" w14:textId="5E92652D" w:rsidR="00C308D2" w:rsidRDefault="006E3B2F" w:rsidP="00FC4D90">
      <w:pPr>
        <w:pStyle w:val="NoSpacing"/>
        <w:jc w:val="both"/>
        <w:rPr>
          <w:rFonts w:ascii="Arial" w:hAnsi="Arial" w:cs="Arial"/>
        </w:rPr>
      </w:pPr>
      <w:r>
        <w:rPr>
          <w:rFonts w:ascii="Arial" w:hAnsi="Arial" w:cs="Arial"/>
        </w:rPr>
        <w:t>I have carried out the Internal Audit for the year ended 31</w:t>
      </w:r>
      <w:r w:rsidRPr="006E3B2F">
        <w:rPr>
          <w:rFonts w:ascii="Arial" w:hAnsi="Arial" w:cs="Arial"/>
          <w:vertAlign w:val="superscript"/>
        </w:rPr>
        <w:t>st</w:t>
      </w:r>
      <w:r>
        <w:rPr>
          <w:rFonts w:ascii="Arial" w:hAnsi="Arial" w:cs="Arial"/>
        </w:rPr>
        <w:t xml:space="preserve"> March 2022 via Zoom. I would like to thank Jayne for her time and assistance</w:t>
      </w:r>
      <w:r w:rsidR="002F37B0">
        <w:rPr>
          <w:rFonts w:ascii="Arial" w:hAnsi="Arial" w:cs="Arial"/>
        </w:rPr>
        <w:t>, and for facilitating the on-line meeting.</w:t>
      </w:r>
    </w:p>
    <w:p w14:paraId="31406536" w14:textId="0E7797BF" w:rsidR="002F37B0" w:rsidRDefault="002F37B0" w:rsidP="00FC4D90">
      <w:pPr>
        <w:pStyle w:val="NoSpacing"/>
        <w:jc w:val="both"/>
        <w:rPr>
          <w:rFonts w:ascii="Arial" w:hAnsi="Arial" w:cs="Arial"/>
        </w:rPr>
      </w:pPr>
    </w:p>
    <w:p w14:paraId="1F73919C" w14:textId="219B1035" w:rsidR="001F2E2B" w:rsidRPr="001F2E2B" w:rsidRDefault="002F37B0" w:rsidP="00FC4D90">
      <w:pPr>
        <w:pStyle w:val="NormalWeb"/>
        <w:jc w:val="both"/>
        <w:rPr>
          <w:rFonts w:ascii="Arial" w:hAnsi="Arial" w:cs="Arial"/>
          <w:sz w:val="22"/>
          <w:szCs w:val="22"/>
        </w:rPr>
      </w:pPr>
      <w:r w:rsidRPr="001F2E2B">
        <w:rPr>
          <w:rFonts w:ascii="Arial" w:hAnsi="Arial" w:cs="Arial"/>
          <w:sz w:val="22"/>
          <w:szCs w:val="22"/>
        </w:rPr>
        <w:t>In last year’s report I commented that the Financial Regulations</w:t>
      </w:r>
      <w:r w:rsidR="002D3183" w:rsidRPr="001F2E2B">
        <w:rPr>
          <w:rFonts w:ascii="Arial" w:hAnsi="Arial" w:cs="Arial"/>
          <w:sz w:val="22"/>
          <w:szCs w:val="22"/>
        </w:rPr>
        <w:t xml:space="preserve"> (FR)</w:t>
      </w:r>
      <w:r w:rsidRPr="001F2E2B">
        <w:rPr>
          <w:rFonts w:ascii="Arial" w:hAnsi="Arial" w:cs="Arial"/>
          <w:sz w:val="22"/>
          <w:szCs w:val="22"/>
        </w:rPr>
        <w:t xml:space="preserve"> do not refer to on-line banking, which the Council currently uses. I stated at the time that the essence of financial control was </w:t>
      </w:r>
      <w:r w:rsidR="001F2E2B">
        <w:rPr>
          <w:rFonts w:ascii="Arial" w:hAnsi="Arial" w:cs="Arial"/>
          <w:sz w:val="22"/>
          <w:szCs w:val="22"/>
        </w:rPr>
        <w:t xml:space="preserve">nevertheless </w:t>
      </w:r>
      <w:r w:rsidRPr="001F2E2B">
        <w:rPr>
          <w:rFonts w:ascii="Arial" w:hAnsi="Arial" w:cs="Arial"/>
          <w:sz w:val="22"/>
          <w:szCs w:val="22"/>
        </w:rPr>
        <w:t>apparent in that the requirement for two signatories to authorise expenditure was being adhered to, albeit this referred to the previous cheque-writing system.</w:t>
      </w:r>
      <w:r w:rsidR="009B5CD2" w:rsidRPr="001F2E2B">
        <w:rPr>
          <w:rFonts w:ascii="Arial" w:hAnsi="Arial" w:cs="Arial"/>
          <w:sz w:val="22"/>
          <w:szCs w:val="22"/>
        </w:rPr>
        <w:t xml:space="preserve"> This is still the case.</w:t>
      </w:r>
      <w:r w:rsidRPr="001F2E2B">
        <w:rPr>
          <w:rFonts w:ascii="Arial" w:hAnsi="Arial" w:cs="Arial"/>
          <w:sz w:val="22"/>
          <w:szCs w:val="22"/>
        </w:rPr>
        <w:t xml:space="preserve"> The Clerk has explained the current system</w:t>
      </w:r>
      <w:r w:rsidR="002D3183" w:rsidRPr="001F2E2B">
        <w:rPr>
          <w:rFonts w:ascii="Arial" w:hAnsi="Arial" w:cs="Arial"/>
          <w:sz w:val="22"/>
          <w:szCs w:val="22"/>
        </w:rPr>
        <w:t xml:space="preserve"> - I repeat my recommendation that the FR are updated to reflect the on-line nature of the current payment system. I understand this is imminent.</w:t>
      </w:r>
      <w:r w:rsidR="00FB763A" w:rsidRPr="001F2E2B">
        <w:rPr>
          <w:rFonts w:ascii="Arial" w:hAnsi="Arial" w:cs="Arial"/>
          <w:sz w:val="22"/>
          <w:szCs w:val="22"/>
        </w:rPr>
        <w:t xml:space="preserve"> Paragraph 5.39 of the </w:t>
      </w:r>
      <w:r w:rsidR="001F2E2B" w:rsidRPr="001F2E2B">
        <w:rPr>
          <w:rFonts w:ascii="Arial" w:hAnsi="Arial" w:cs="Arial"/>
          <w:sz w:val="22"/>
          <w:szCs w:val="22"/>
        </w:rPr>
        <w:t>Practitioner</w:t>
      </w:r>
      <w:r w:rsidR="001F2E2B">
        <w:rPr>
          <w:rFonts w:ascii="Arial" w:hAnsi="Arial" w:cs="Arial"/>
          <w:sz w:val="22"/>
          <w:szCs w:val="22"/>
        </w:rPr>
        <w:t xml:space="preserve">s </w:t>
      </w:r>
      <w:r w:rsidR="001F2E2B" w:rsidRPr="001F2E2B">
        <w:rPr>
          <w:rFonts w:ascii="Arial" w:hAnsi="Arial" w:cs="Arial"/>
          <w:sz w:val="22"/>
          <w:szCs w:val="22"/>
        </w:rPr>
        <w:t>Guide, referred to at the foot of this report, states that</w:t>
      </w:r>
      <w:r w:rsidR="001F2E2B">
        <w:rPr>
          <w:rFonts w:ascii="Arial" w:hAnsi="Arial" w:cs="Arial"/>
          <w:sz w:val="22"/>
          <w:szCs w:val="22"/>
        </w:rPr>
        <w:t>:</w:t>
      </w:r>
    </w:p>
    <w:p w14:paraId="6A320D4F" w14:textId="2A4CCF5F" w:rsidR="001F2E2B" w:rsidRPr="001F2E2B" w:rsidRDefault="001F2E2B" w:rsidP="00FC4D90">
      <w:pPr>
        <w:pStyle w:val="NormalWeb"/>
        <w:jc w:val="both"/>
        <w:rPr>
          <w:rFonts w:ascii="Arial" w:hAnsi="Arial" w:cs="Arial"/>
          <w:sz w:val="22"/>
          <w:szCs w:val="22"/>
        </w:rPr>
      </w:pPr>
      <w:r w:rsidRPr="001F2E2B">
        <w:rPr>
          <w:rFonts w:ascii="Arial" w:hAnsi="Arial" w:cs="Arial"/>
          <w:sz w:val="22"/>
          <w:szCs w:val="22"/>
        </w:rPr>
        <w:t xml:space="preserve"> “The authority should develop specific control procedures for any payments by bank transfer, or other electronic means, considering the risks brought about by the ease and speed of these transactions and the difficulties faced in unravelling them should they go wrong.”</w:t>
      </w:r>
    </w:p>
    <w:p w14:paraId="7A2CF0E2" w14:textId="54C98297" w:rsidR="001F2E2B" w:rsidRDefault="001F2E2B" w:rsidP="00FC4D90">
      <w:pPr>
        <w:pStyle w:val="NormalWeb"/>
        <w:jc w:val="both"/>
      </w:pPr>
    </w:p>
    <w:p w14:paraId="51A3C3AE" w14:textId="77777777" w:rsidR="001F2E2B" w:rsidRDefault="001F2E2B" w:rsidP="00FC4D90">
      <w:pPr>
        <w:pStyle w:val="NormalWeb"/>
        <w:jc w:val="both"/>
      </w:pPr>
    </w:p>
    <w:p w14:paraId="1D0526AC" w14:textId="292201F1" w:rsidR="002F37B0" w:rsidRDefault="002F37B0" w:rsidP="00FC4D90">
      <w:pPr>
        <w:pStyle w:val="NoSpacing"/>
        <w:jc w:val="both"/>
        <w:rPr>
          <w:rFonts w:ascii="Arial" w:hAnsi="Arial" w:cs="Arial"/>
        </w:rPr>
      </w:pPr>
    </w:p>
    <w:p w14:paraId="2F20F83E" w14:textId="1EE03BD7" w:rsidR="002D3183" w:rsidRDefault="002D3183" w:rsidP="00FC4D90">
      <w:pPr>
        <w:pStyle w:val="NoSpacing"/>
        <w:jc w:val="both"/>
        <w:rPr>
          <w:rFonts w:ascii="Arial" w:hAnsi="Arial" w:cs="Arial"/>
        </w:rPr>
      </w:pPr>
    </w:p>
    <w:p w14:paraId="1B646E5D" w14:textId="6C288057" w:rsidR="002D3183" w:rsidRDefault="002D3183" w:rsidP="00FC4D90">
      <w:pPr>
        <w:pStyle w:val="NoSpacing"/>
        <w:jc w:val="both"/>
        <w:rPr>
          <w:rFonts w:ascii="Arial" w:hAnsi="Arial" w:cs="Arial"/>
          <w:b/>
          <w:bCs/>
        </w:rPr>
      </w:pPr>
      <w:r w:rsidRPr="002D3183">
        <w:rPr>
          <w:rFonts w:ascii="Arial" w:hAnsi="Arial" w:cs="Arial"/>
          <w:b/>
          <w:bCs/>
        </w:rPr>
        <w:lastRenderedPageBreak/>
        <w:t>Now to this year.</w:t>
      </w:r>
    </w:p>
    <w:p w14:paraId="68D06F35" w14:textId="1F4729C9" w:rsidR="002D3183" w:rsidRDefault="002D3183" w:rsidP="00FC4D90">
      <w:pPr>
        <w:pStyle w:val="NoSpacing"/>
        <w:jc w:val="both"/>
        <w:rPr>
          <w:rFonts w:ascii="Arial" w:hAnsi="Arial" w:cs="Arial"/>
          <w:b/>
          <w:bCs/>
        </w:rPr>
      </w:pPr>
    </w:p>
    <w:p w14:paraId="1717A67A" w14:textId="543A0BAA" w:rsidR="006B1913" w:rsidRDefault="002D3183" w:rsidP="00FC4D90">
      <w:pPr>
        <w:pStyle w:val="NoSpacing"/>
        <w:jc w:val="both"/>
        <w:rPr>
          <w:rFonts w:ascii="Arial" w:hAnsi="Arial" w:cs="Arial"/>
        </w:rPr>
      </w:pPr>
      <w:r>
        <w:rPr>
          <w:rFonts w:ascii="Arial" w:hAnsi="Arial" w:cs="Arial"/>
        </w:rPr>
        <w:t>I return to the subject of reserves held by the Council</w:t>
      </w:r>
      <w:r w:rsidR="00B650A2">
        <w:rPr>
          <w:rFonts w:ascii="Arial" w:hAnsi="Arial" w:cs="Arial"/>
        </w:rPr>
        <w:t>. Firstly, let me point out that I am not asserting the reserves are either inadequate or indeed excessive. The final balance for the year stands at £10,220. In 21/22, the Council’s regular (</w:t>
      </w:r>
      <w:proofErr w:type="spellStart"/>
      <w:r w:rsidR="00B650A2">
        <w:rPr>
          <w:rFonts w:ascii="Arial" w:hAnsi="Arial" w:cs="Arial"/>
        </w:rPr>
        <w:t>ie</w:t>
      </w:r>
      <w:proofErr w:type="spellEnd"/>
      <w:r w:rsidR="00B650A2">
        <w:rPr>
          <w:rFonts w:ascii="Arial" w:hAnsi="Arial" w:cs="Arial"/>
        </w:rPr>
        <w:t xml:space="preserve">. recurring day-to-day) expenditure was £9,432. This excludes any S. 106 money, the spend on trees, the community centre and the quarry extension, which are </w:t>
      </w:r>
      <w:r w:rsidR="0047299E">
        <w:rPr>
          <w:rFonts w:ascii="Arial" w:hAnsi="Arial" w:cs="Arial"/>
        </w:rPr>
        <w:t>of a one-off and non-recurring nature</w:t>
      </w:r>
      <w:r w:rsidR="001F2E2B">
        <w:rPr>
          <w:rFonts w:ascii="Arial" w:hAnsi="Arial" w:cs="Arial"/>
        </w:rPr>
        <w:t>, and excludes the burial ground.</w:t>
      </w:r>
      <w:r w:rsidR="006B1913">
        <w:rPr>
          <w:rFonts w:ascii="Arial" w:hAnsi="Arial" w:cs="Arial"/>
        </w:rPr>
        <w:t xml:space="preserve"> On the face of it therefore, the balance of £10,220 is greater than 1 year’s regular expenditure, although not excessively so. </w:t>
      </w:r>
    </w:p>
    <w:p w14:paraId="7FE7C79D" w14:textId="77777777" w:rsidR="006B1913" w:rsidRDefault="006B1913" w:rsidP="00FC4D90">
      <w:pPr>
        <w:pStyle w:val="NoSpacing"/>
        <w:jc w:val="both"/>
        <w:rPr>
          <w:rFonts w:ascii="Arial" w:hAnsi="Arial" w:cs="Arial"/>
        </w:rPr>
      </w:pPr>
    </w:p>
    <w:p w14:paraId="081ABC38" w14:textId="1AC0033A" w:rsidR="002D3183" w:rsidRDefault="006B1913" w:rsidP="00FC4D90">
      <w:pPr>
        <w:pStyle w:val="NoSpacing"/>
        <w:jc w:val="both"/>
        <w:rPr>
          <w:rFonts w:ascii="Arial" w:hAnsi="Arial" w:cs="Arial"/>
        </w:rPr>
      </w:pPr>
      <w:r>
        <w:rPr>
          <w:rFonts w:ascii="Arial" w:hAnsi="Arial" w:cs="Arial"/>
        </w:rPr>
        <w:t>However, included within the £10,220, are a number of earmarked items, although it is difficult to identify precisely how much. Just by examining the accounts for 21/22, it is clear that there is at least £3,288 of unspent quarry money from the £6,000 allocated in the year’s budget, and £1,5</w:t>
      </w:r>
      <w:r w:rsidR="00CD1383">
        <w:rPr>
          <w:rFonts w:ascii="Arial" w:hAnsi="Arial" w:cs="Arial"/>
        </w:rPr>
        <w:t xml:space="preserve">59 of unspent community centre projects money from a budget of £5,000. There may be amounts unspent from previous years. </w:t>
      </w:r>
    </w:p>
    <w:p w14:paraId="53487567" w14:textId="1DCCC623" w:rsidR="00CD1383" w:rsidRDefault="00CD1383" w:rsidP="00FC4D90">
      <w:pPr>
        <w:pStyle w:val="NoSpacing"/>
        <w:jc w:val="both"/>
        <w:rPr>
          <w:rFonts w:ascii="Arial" w:hAnsi="Arial" w:cs="Arial"/>
        </w:rPr>
      </w:pPr>
    </w:p>
    <w:p w14:paraId="53D9FEC3" w14:textId="134D9CCB" w:rsidR="00CD1383" w:rsidRDefault="00CD1383" w:rsidP="00FC4D90">
      <w:pPr>
        <w:pStyle w:val="NoSpacing"/>
        <w:jc w:val="both"/>
        <w:rPr>
          <w:rFonts w:ascii="Arial" w:hAnsi="Arial" w:cs="Arial"/>
        </w:rPr>
      </w:pPr>
      <w:r>
        <w:rPr>
          <w:rFonts w:ascii="Arial" w:hAnsi="Arial" w:cs="Arial"/>
        </w:rPr>
        <w:t>In short, I recommend that separate “memo” accounts be maintained</w:t>
      </w:r>
      <w:r w:rsidR="00CD4128">
        <w:rPr>
          <w:rFonts w:ascii="Arial" w:hAnsi="Arial" w:cs="Arial"/>
        </w:rPr>
        <w:t xml:space="preserve"> not only</w:t>
      </w:r>
      <w:r>
        <w:rPr>
          <w:rFonts w:ascii="Arial" w:hAnsi="Arial" w:cs="Arial"/>
        </w:rPr>
        <w:t xml:space="preserve"> to track the expenditure incurred</w:t>
      </w:r>
      <w:r w:rsidR="00CD4128">
        <w:rPr>
          <w:rFonts w:ascii="Arial" w:hAnsi="Arial" w:cs="Arial"/>
        </w:rPr>
        <w:t xml:space="preserve"> during each year (this i</w:t>
      </w:r>
      <w:r w:rsidR="00CD4128" w:rsidRPr="00CD4128">
        <w:rPr>
          <w:rFonts w:ascii="Arial" w:hAnsi="Arial" w:cs="Arial"/>
          <w:u w:val="single"/>
        </w:rPr>
        <w:t>s</w:t>
      </w:r>
      <w:r w:rsidR="00CD4128">
        <w:rPr>
          <w:rFonts w:ascii="Arial" w:hAnsi="Arial" w:cs="Arial"/>
        </w:rPr>
        <w:t xml:space="preserve"> done each meeting), but also to update the</w:t>
      </w:r>
      <w:r>
        <w:rPr>
          <w:rFonts w:ascii="Arial" w:hAnsi="Arial" w:cs="Arial"/>
        </w:rPr>
        <w:t xml:space="preserve"> remaining balances held, on earmarked reserves</w:t>
      </w:r>
      <w:r w:rsidR="000304CC">
        <w:rPr>
          <w:rFonts w:ascii="Arial" w:hAnsi="Arial" w:cs="Arial"/>
        </w:rPr>
        <w:t xml:space="preserve"> year on year</w:t>
      </w:r>
      <w:r>
        <w:rPr>
          <w:rFonts w:ascii="Arial" w:hAnsi="Arial" w:cs="Arial"/>
        </w:rPr>
        <w:t xml:space="preserve">. </w:t>
      </w:r>
      <w:r w:rsidR="00305EE4">
        <w:rPr>
          <w:rFonts w:ascii="Arial" w:hAnsi="Arial" w:cs="Arial"/>
        </w:rPr>
        <w:t xml:space="preserve">Then when the next budget/precept exercise comes round, it will be clearer as to how much extra a particular earmarked reserve will need (or not), and therefore, whether it needs to form part of the precept calculation (or not). In short, it is all about ensuring </w:t>
      </w:r>
      <w:r w:rsidR="00CF28FB">
        <w:rPr>
          <w:rFonts w:ascii="Arial" w:hAnsi="Arial" w:cs="Arial"/>
        </w:rPr>
        <w:t xml:space="preserve">the utmost </w:t>
      </w:r>
      <w:r w:rsidR="00305EE4">
        <w:rPr>
          <w:rFonts w:ascii="Arial" w:hAnsi="Arial" w:cs="Arial"/>
        </w:rPr>
        <w:t>clarity and transparency in the precept-setting process.</w:t>
      </w:r>
    </w:p>
    <w:p w14:paraId="2384C9E0" w14:textId="38415DB5" w:rsidR="00B14CB9" w:rsidRDefault="00B14CB9" w:rsidP="00FC4D90">
      <w:pPr>
        <w:pStyle w:val="NoSpacing"/>
        <w:jc w:val="both"/>
        <w:rPr>
          <w:rFonts w:ascii="Arial" w:hAnsi="Arial" w:cs="Arial"/>
        </w:rPr>
      </w:pPr>
    </w:p>
    <w:p w14:paraId="3EB4BF99" w14:textId="0B85073E" w:rsidR="00B14CB9" w:rsidRDefault="00B14CB9" w:rsidP="00FC4D90">
      <w:pPr>
        <w:pStyle w:val="NoSpacing"/>
        <w:jc w:val="both"/>
        <w:rPr>
          <w:rFonts w:ascii="Arial" w:hAnsi="Arial" w:cs="Arial"/>
        </w:rPr>
      </w:pPr>
      <w:r>
        <w:rPr>
          <w:rFonts w:ascii="Arial" w:hAnsi="Arial" w:cs="Arial"/>
        </w:rPr>
        <w:t>I would also recommend that the Council adopt a reserves policy, again in the interests of clarity.</w:t>
      </w:r>
    </w:p>
    <w:p w14:paraId="174A1629" w14:textId="1040E5A9" w:rsidR="00CF28FB" w:rsidRDefault="00CF28FB" w:rsidP="00FC4D90">
      <w:pPr>
        <w:pStyle w:val="NoSpacing"/>
        <w:jc w:val="both"/>
        <w:rPr>
          <w:rFonts w:ascii="Arial" w:hAnsi="Arial" w:cs="Arial"/>
        </w:rPr>
      </w:pPr>
    </w:p>
    <w:p w14:paraId="20A2A5FD" w14:textId="1676CA10" w:rsidR="005952DD" w:rsidRPr="000304CC" w:rsidRDefault="00CF28FB" w:rsidP="00FC4D90">
      <w:pPr>
        <w:pStyle w:val="NormalWeb"/>
        <w:jc w:val="both"/>
        <w:rPr>
          <w:rFonts w:ascii="Arial" w:hAnsi="Arial" w:cs="Arial"/>
          <w:sz w:val="22"/>
          <w:szCs w:val="22"/>
        </w:rPr>
      </w:pPr>
      <w:r w:rsidRPr="005952DD">
        <w:rPr>
          <w:rFonts w:ascii="Arial" w:hAnsi="Arial" w:cs="Arial"/>
          <w:sz w:val="22"/>
          <w:szCs w:val="22"/>
        </w:rPr>
        <w:t>One further point. I noted that a number of payments are being made to the Clerk and the Chair as reimbursements for items purchased on behalf of the Council. This is because a payment card must be used to buy items on-line</w:t>
      </w:r>
      <w:r w:rsidR="005952DD">
        <w:rPr>
          <w:rFonts w:ascii="Arial" w:hAnsi="Arial" w:cs="Arial"/>
          <w:sz w:val="22"/>
          <w:szCs w:val="22"/>
        </w:rPr>
        <w:t>, and the Council does not have one. The Council might like to consider obtaining such a card to use in these circumstances. It is preferable that all payments are made directly by the Council</w:t>
      </w:r>
      <w:r w:rsidR="00FB763A">
        <w:rPr>
          <w:rFonts w:ascii="Arial" w:hAnsi="Arial" w:cs="Arial"/>
          <w:sz w:val="22"/>
          <w:szCs w:val="22"/>
        </w:rPr>
        <w:t xml:space="preserve"> - it </w:t>
      </w:r>
      <w:r w:rsidR="005952DD">
        <w:rPr>
          <w:rFonts w:ascii="Arial" w:hAnsi="Arial" w:cs="Arial"/>
          <w:sz w:val="22"/>
          <w:szCs w:val="22"/>
        </w:rPr>
        <w:t xml:space="preserve">would eliminate having to use private card accounts, </w:t>
      </w:r>
      <w:r w:rsidR="00FB763A">
        <w:rPr>
          <w:rFonts w:ascii="Arial" w:hAnsi="Arial" w:cs="Arial"/>
          <w:sz w:val="22"/>
          <w:szCs w:val="22"/>
        </w:rPr>
        <w:t>and would</w:t>
      </w:r>
      <w:r w:rsidR="005952DD">
        <w:rPr>
          <w:rFonts w:ascii="Arial" w:hAnsi="Arial" w:cs="Arial"/>
          <w:sz w:val="22"/>
          <w:szCs w:val="22"/>
        </w:rPr>
        <w:t xml:space="preserve"> reduce the risk of being unable to reclaim VAT</w:t>
      </w:r>
      <w:r w:rsidR="00FB763A">
        <w:rPr>
          <w:rFonts w:ascii="Arial" w:hAnsi="Arial" w:cs="Arial"/>
          <w:sz w:val="22"/>
          <w:szCs w:val="22"/>
        </w:rPr>
        <w:t xml:space="preserve"> should the Council not be identified as the true purchaser</w:t>
      </w:r>
      <w:r w:rsidR="000304CC">
        <w:rPr>
          <w:rFonts w:ascii="Arial" w:hAnsi="Arial" w:cs="Arial"/>
          <w:sz w:val="22"/>
          <w:szCs w:val="22"/>
        </w:rPr>
        <w:t>.</w:t>
      </w:r>
    </w:p>
    <w:p w14:paraId="5657C395" w14:textId="77777777" w:rsidR="002D3183" w:rsidRPr="00437B45" w:rsidRDefault="002D3183" w:rsidP="00FC4D90">
      <w:pPr>
        <w:pStyle w:val="NoSpacing"/>
        <w:jc w:val="both"/>
        <w:rPr>
          <w:rFonts w:ascii="Arial" w:hAnsi="Arial" w:cs="Arial"/>
        </w:rPr>
      </w:pPr>
    </w:p>
    <w:p w14:paraId="5C98891C" w14:textId="5F5B6760" w:rsidR="002D3183" w:rsidRPr="00FC4D90" w:rsidRDefault="002D3183" w:rsidP="00FC4D90">
      <w:pPr>
        <w:jc w:val="both"/>
        <w:rPr>
          <w:rFonts w:ascii="Arial" w:eastAsia="Times New Roman" w:hAnsi="Arial" w:cs="Arial"/>
          <w:lang w:eastAsia="en-GB"/>
        </w:rPr>
      </w:pPr>
      <w:r>
        <w:rPr>
          <w:rFonts w:ascii="Arial" w:hAnsi="Arial" w:cs="Arial"/>
        </w:rPr>
        <w:t xml:space="preserve">I </w:t>
      </w:r>
      <w:r w:rsidRPr="00FC4D90">
        <w:rPr>
          <w:rFonts w:ascii="Arial" w:eastAsia="Times New Roman" w:hAnsi="Arial" w:cs="Arial"/>
          <w:lang w:eastAsia="en-GB"/>
        </w:rPr>
        <w:t>am required to explain why I have ticked “Not covered” to Item F (Petty Cash), and Item K (Correctly exempted from a limited assurance review). As for Item F, it is, quite simply, that the Council does not operate a petty cash system. Regarding Item K, the Council was not in a position last year to exempt itself from the limited assurance review, and correctly did not do so.</w:t>
      </w:r>
    </w:p>
    <w:p w14:paraId="7E778ADC" w14:textId="77777777" w:rsidR="009B5CD2" w:rsidRDefault="009B5CD2" w:rsidP="00FC4D90">
      <w:pPr>
        <w:jc w:val="both"/>
        <w:rPr>
          <w:rFonts w:ascii="Arial" w:hAnsi="Arial" w:cs="Arial"/>
        </w:rPr>
      </w:pPr>
    </w:p>
    <w:p w14:paraId="3B92E355" w14:textId="77777777" w:rsidR="009B5CD2" w:rsidRPr="00386C9F" w:rsidRDefault="009B5CD2" w:rsidP="00FC4D90">
      <w:pPr>
        <w:jc w:val="both"/>
        <w:rPr>
          <w:rFonts w:ascii="Arial" w:hAnsi="Arial" w:cs="Arial"/>
          <w:b/>
          <w:sz w:val="20"/>
          <w:szCs w:val="20"/>
          <w:u w:val="single"/>
        </w:rPr>
      </w:pPr>
      <w:r w:rsidRPr="00EE48D1">
        <w:rPr>
          <w:rFonts w:ascii="Arial" w:hAnsi="Arial" w:cs="Arial"/>
          <w:b/>
          <w:sz w:val="20"/>
          <w:szCs w:val="20"/>
          <w:u w:val="single"/>
        </w:rPr>
        <w:t>CONCLUSION</w:t>
      </w:r>
    </w:p>
    <w:p w14:paraId="0D27F632" w14:textId="77777777" w:rsidR="009B5CD2" w:rsidRPr="00520DAF" w:rsidRDefault="009B5CD2" w:rsidP="00FC4D90">
      <w:pPr>
        <w:widowControl w:val="0"/>
        <w:autoSpaceDE w:val="0"/>
        <w:autoSpaceDN w:val="0"/>
        <w:adjustRightInd w:val="0"/>
        <w:spacing w:after="240" w:line="240" w:lineRule="auto"/>
        <w:jc w:val="both"/>
        <w:rPr>
          <w:rFonts w:ascii="Arial" w:hAnsi="Arial" w:cs="Arial"/>
        </w:rPr>
      </w:pPr>
      <w:r w:rsidRPr="00B256CC">
        <w:rPr>
          <w:rFonts w:ascii="Arial" w:hAnsi="Arial" w:cs="Arial"/>
        </w:rPr>
        <w:t>Notwithstanding the comments above, by reviewing the hard evidence, discussing with the Clerk, and selectively testing a small number of transactions, I am</w:t>
      </w:r>
      <w:r>
        <w:rPr>
          <w:rFonts w:ascii="Arial" w:hAnsi="Arial" w:cs="Arial"/>
        </w:rPr>
        <w:t xml:space="preserve"> again</w:t>
      </w:r>
      <w:r w:rsidRPr="00B256CC">
        <w:rPr>
          <w:rFonts w:ascii="Arial" w:hAnsi="Arial" w:cs="Arial"/>
        </w:rPr>
        <w:t xml:space="preserve"> satisfied that the Council is operating sound policies and procedures which enable it to deliver its services and fulfil its responsibilities effectively and efficiently. I have tested all the Internal Control Objectives I am required to consider, and in all significant respects, the objectives have been met. I have therefore completed the Internal Audit Report section of the Annual Governance and Accountabilit</w:t>
      </w:r>
      <w:r>
        <w:rPr>
          <w:rFonts w:ascii="Arial" w:hAnsi="Arial" w:cs="Arial"/>
        </w:rPr>
        <w:t>y Return, with no qualification.</w:t>
      </w:r>
    </w:p>
    <w:p w14:paraId="0CD9A01A" w14:textId="663291D7" w:rsidR="004D03EC" w:rsidRDefault="004D03EC" w:rsidP="00FC4D90">
      <w:pPr>
        <w:pStyle w:val="NoSpacing"/>
        <w:jc w:val="both"/>
        <w:rPr>
          <w:rFonts w:ascii="Arial" w:hAnsi="Arial" w:cs="Arial"/>
        </w:rPr>
      </w:pPr>
    </w:p>
    <w:p w14:paraId="3D11D0A1" w14:textId="77777777" w:rsidR="000304CC" w:rsidRPr="00437B45" w:rsidRDefault="000304CC" w:rsidP="00FC4D90">
      <w:pPr>
        <w:pStyle w:val="NoSpacing"/>
        <w:jc w:val="both"/>
        <w:rPr>
          <w:rFonts w:ascii="Arial" w:hAnsi="Arial" w:cs="Arial"/>
        </w:rPr>
      </w:pPr>
    </w:p>
    <w:p w14:paraId="13DFC2BD" w14:textId="77777777" w:rsidR="00DB516E" w:rsidRPr="00437B45" w:rsidRDefault="00DB516E" w:rsidP="00FC4D90">
      <w:pPr>
        <w:pStyle w:val="NoSpacing"/>
        <w:jc w:val="both"/>
        <w:rPr>
          <w:rFonts w:ascii="Arial" w:hAnsi="Arial" w:cs="Arial"/>
        </w:rPr>
      </w:pPr>
      <w:r w:rsidRPr="00437B45">
        <w:rPr>
          <w:rFonts w:ascii="Arial" w:hAnsi="Arial" w:cs="Arial"/>
        </w:rPr>
        <w:t>Yours sincerely,</w:t>
      </w:r>
    </w:p>
    <w:p w14:paraId="0A3E9678" w14:textId="77777777" w:rsidR="00DB516E" w:rsidRPr="00437B45" w:rsidRDefault="00DB516E" w:rsidP="00FC4D90">
      <w:pPr>
        <w:pStyle w:val="NoSpacing"/>
        <w:jc w:val="both"/>
        <w:rPr>
          <w:rFonts w:ascii="Arial" w:hAnsi="Arial" w:cs="Arial"/>
        </w:rPr>
      </w:pPr>
    </w:p>
    <w:p w14:paraId="1E1F29DA" w14:textId="77777777" w:rsidR="00DB516E" w:rsidRPr="00437B45" w:rsidRDefault="00DB516E" w:rsidP="00FC4D90">
      <w:pPr>
        <w:pStyle w:val="NoSpacing"/>
        <w:jc w:val="both"/>
        <w:rPr>
          <w:rFonts w:ascii="Arial" w:hAnsi="Arial" w:cs="Arial"/>
        </w:rPr>
      </w:pPr>
    </w:p>
    <w:p w14:paraId="3803B43C" w14:textId="5AA82C29" w:rsidR="00310392" w:rsidRDefault="009B5CD2" w:rsidP="00FC4D90">
      <w:pPr>
        <w:pStyle w:val="NoSpacing"/>
        <w:jc w:val="both"/>
        <w:rPr>
          <w:rFonts w:ascii="Arial" w:hAnsi="Arial" w:cs="Arial"/>
        </w:rPr>
      </w:pPr>
      <w:r>
        <w:rPr>
          <w:rFonts w:ascii="Arial" w:hAnsi="Arial" w:cs="Arial"/>
          <w:noProof/>
        </w:rPr>
        <w:drawing>
          <wp:inline distT="0" distB="0" distL="0" distR="0" wp14:anchorId="712DD566" wp14:editId="4554A0C3">
            <wp:extent cx="2286000" cy="749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86000" cy="749300"/>
                    </a:xfrm>
                    <a:prstGeom prst="rect">
                      <a:avLst/>
                    </a:prstGeom>
                  </pic:spPr>
                </pic:pic>
              </a:graphicData>
            </a:graphic>
          </wp:inline>
        </w:drawing>
      </w:r>
    </w:p>
    <w:p w14:paraId="01262B9B" w14:textId="77777777" w:rsidR="00310392" w:rsidRPr="00437B45" w:rsidRDefault="00310392" w:rsidP="00FC4D90">
      <w:pPr>
        <w:pStyle w:val="NoSpacing"/>
        <w:jc w:val="both"/>
        <w:rPr>
          <w:rFonts w:ascii="Arial" w:hAnsi="Arial" w:cs="Arial"/>
        </w:rPr>
      </w:pPr>
    </w:p>
    <w:p w14:paraId="30638990" w14:textId="77777777" w:rsidR="00DB516E" w:rsidRPr="00437B45" w:rsidRDefault="00DB516E" w:rsidP="00FC4D90">
      <w:pPr>
        <w:pStyle w:val="NoSpacing"/>
        <w:jc w:val="both"/>
        <w:rPr>
          <w:rFonts w:ascii="Arial" w:hAnsi="Arial" w:cs="Arial"/>
        </w:rPr>
      </w:pPr>
    </w:p>
    <w:p w14:paraId="4411BDE5" w14:textId="58301342" w:rsidR="00DB516E" w:rsidRDefault="009B5CD2" w:rsidP="00FC4D90">
      <w:pPr>
        <w:pStyle w:val="NoSpacing"/>
        <w:jc w:val="both"/>
        <w:rPr>
          <w:rFonts w:ascii="Arial" w:hAnsi="Arial" w:cs="Arial"/>
        </w:rPr>
      </w:pPr>
      <w:r>
        <w:rPr>
          <w:rFonts w:ascii="Arial" w:hAnsi="Arial" w:cs="Arial"/>
        </w:rPr>
        <w:t>Stuart McDonald</w:t>
      </w:r>
      <w:r w:rsidRPr="00437B45">
        <w:rPr>
          <w:rFonts w:ascii="Arial" w:hAnsi="Arial" w:cs="Arial"/>
        </w:rPr>
        <w:t xml:space="preserve"> </w:t>
      </w:r>
      <w:r>
        <w:rPr>
          <w:rFonts w:ascii="Arial" w:hAnsi="Arial" w:cs="Arial"/>
        </w:rPr>
        <w:t>- Internal Auditor to the Council</w:t>
      </w:r>
    </w:p>
    <w:p w14:paraId="0714DF16" w14:textId="2235A1D0" w:rsidR="00310392" w:rsidRPr="00437B45" w:rsidRDefault="009B5CD2" w:rsidP="00FC4D90">
      <w:pPr>
        <w:pStyle w:val="NoSpacing"/>
        <w:jc w:val="both"/>
        <w:rPr>
          <w:rFonts w:ascii="Arial" w:hAnsi="Arial" w:cs="Arial"/>
        </w:rPr>
      </w:pPr>
      <w:r>
        <w:rPr>
          <w:rFonts w:ascii="Arial" w:hAnsi="Arial" w:cs="Arial"/>
        </w:rPr>
        <w:t>07595 466133</w:t>
      </w:r>
    </w:p>
    <w:p w14:paraId="46BEF62E" w14:textId="77777777" w:rsidR="0005644E" w:rsidRPr="00437B45" w:rsidRDefault="0005644E" w:rsidP="00FC4D90">
      <w:pPr>
        <w:pStyle w:val="NoSpacing"/>
        <w:jc w:val="both"/>
        <w:rPr>
          <w:rFonts w:ascii="Arial" w:hAnsi="Arial" w:cs="Arial"/>
        </w:rPr>
      </w:pPr>
    </w:p>
    <w:p w14:paraId="26F71C7A" w14:textId="77777777" w:rsidR="0005644E" w:rsidRPr="00437B45" w:rsidRDefault="0005644E" w:rsidP="00FC4D90">
      <w:pPr>
        <w:pStyle w:val="NoSpacing"/>
        <w:jc w:val="both"/>
        <w:rPr>
          <w:rFonts w:ascii="Arial" w:hAnsi="Arial" w:cs="Arial"/>
        </w:rPr>
      </w:pPr>
    </w:p>
    <w:p w14:paraId="710C3F05" w14:textId="77777777" w:rsidR="00437B45" w:rsidRPr="00437B45" w:rsidRDefault="00437B45">
      <w:pPr>
        <w:rPr>
          <w:rFonts w:ascii="Arial" w:hAnsi="Arial" w:cs="Arial"/>
          <w:b/>
          <w:i/>
        </w:rPr>
      </w:pPr>
      <w:r w:rsidRPr="00437B45">
        <w:rPr>
          <w:rFonts w:ascii="Arial" w:hAnsi="Arial" w:cs="Arial"/>
          <w:b/>
          <w:i/>
        </w:rPr>
        <w:br w:type="page"/>
      </w:r>
    </w:p>
    <w:p w14:paraId="7DDAA6B0" w14:textId="77777777" w:rsidR="00437B45" w:rsidRPr="00437B45" w:rsidRDefault="00437B45" w:rsidP="00437B45">
      <w:pPr>
        <w:pStyle w:val="NoSpacing"/>
        <w:rPr>
          <w:rFonts w:ascii="Arial" w:hAnsi="Arial" w:cs="Arial"/>
        </w:rPr>
      </w:pPr>
      <w:r w:rsidRPr="00437B45">
        <w:rPr>
          <w:rFonts w:ascii="Arial" w:hAnsi="Arial" w:cs="Arial"/>
        </w:rPr>
        <w:lastRenderedPageBreak/>
        <w:t xml:space="preserve">The figures submitted in the </w:t>
      </w:r>
      <w:r w:rsidR="007D4ABE" w:rsidRPr="007D4ABE">
        <w:rPr>
          <w:rFonts w:ascii="Arial" w:hAnsi="Arial" w:cs="Arial"/>
        </w:rPr>
        <w:t xml:space="preserve">Annual Governance and Accountability Return </w:t>
      </w:r>
      <w:r w:rsidRPr="00437B45">
        <w:rPr>
          <w:rFonts w:ascii="Arial" w:hAnsi="Arial" w:cs="Arial"/>
        </w:rPr>
        <w:t>are:</w:t>
      </w:r>
    </w:p>
    <w:p w14:paraId="4839A227" w14:textId="77777777" w:rsidR="00437B45" w:rsidRPr="00437B45" w:rsidRDefault="00437B45" w:rsidP="00437B45">
      <w:pPr>
        <w:pStyle w:val="NoSpacing"/>
        <w:rPr>
          <w:rFonts w:ascii="Arial" w:hAnsi="Arial" w:cs="Arial"/>
        </w:rPr>
      </w:pPr>
    </w:p>
    <w:tbl>
      <w:tblPr>
        <w:tblW w:w="907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2693"/>
        <w:gridCol w:w="2268"/>
      </w:tblGrid>
      <w:tr w:rsidR="00437B45" w:rsidRPr="00024417" w14:paraId="61C1AB40" w14:textId="77777777" w:rsidTr="00437B45">
        <w:trPr>
          <w:trHeight w:val="20"/>
        </w:trPr>
        <w:tc>
          <w:tcPr>
            <w:tcW w:w="4111" w:type="dxa"/>
            <w:shd w:val="clear" w:color="auto" w:fill="auto"/>
            <w:tcMar>
              <w:top w:w="57" w:type="dxa"/>
              <w:left w:w="57" w:type="dxa"/>
              <w:bottom w:w="57" w:type="dxa"/>
              <w:right w:w="57" w:type="dxa"/>
            </w:tcMar>
            <w:vAlign w:val="center"/>
          </w:tcPr>
          <w:p w14:paraId="660E8184" w14:textId="77777777" w:rsidR="00437B45" w:rsidRPr="00437B45" w:rsidRDefault="00437B45" w:rsidP="00437B45">
            <w:pPr>
              <w:spacing w:after="0" w:line="240" w:lineRule="auto"/>
              <w:rPr>
                <w:rFonts w:ascii="Arial" w:hAnsi="Arial" w:cs="Arial"/>
                <w:sz w:val="18"/>
                <w:szCs w:val="18"/>
              </w:rPr>
            </w:pPr>
          </w:p>
        </w:tc>
        <w:tc>
          <w:tcPr>
            <w:tcW w:w="2693" w:type="dxa"/>
            <w:shd w:val="clear" w:color="auto" w:fill="auto"/>
            <w:vAlign w:val="center"/>
          </w:tcPr>
          <w:p w14:paraId="558B8C81" w14:textId="3E286D0E" w:rsidR="00437B45" w:rsidRPr="00437B45" w:rsidRDefault="00437B45" w:rsidP="007D4ABE">
            <w:pPr>
              <w:spacing w:after="0" w:line="240" w:lineRule="auto"/>
              <w:jc w:val="center"/>
              <w:rPr>
                <w:rFonts w:ascii="Arial" w:hAnsi="Arial" w:cs="Arial"/>
                <w:b/>
                <w:sz w:val="18"/>
                <w:szCs w:val="18"/>
              </w:rPr>
            </w:pPr>
            <w:r w:rsidRPr="00437B45">
              <w:rPr>
                <w:rFonts w:ascii="Arial" w:hAnsi="Arial" w:cs="Arial"/>
                <w:b/>
                <w:sz w:val="18"/>
                <w:szCs w:val="18"/>
              </w:rPr>
              <w:t>Year ending</w:t>
            </w:r>
            <w:r w:rsidRPr="00437B45">
              <w:rPr>
                <w:rFonts w:ascii="Arial" w:hAnsi="Arial" w:cs="Arial"/>
                <w:b/>
                <w:sz w:val="18"/>
                <w:szCs w:val="18"/>
              </w:rPr>
              <w:br/>
              <w:t>31 March 20</w:t>
            </w:r>
            <w:r w:rsidR="00715245">
              <w:rPr>
                <w:rFonts w:ascii="Arial" w:hAnsi="Arial" w:cs="Arial"/>
                <w:b/>
                <w:sz w:val="18"/>
                <w:szCs w:val="18"/>
              </w:rPr>
              <w:t>2</w:t>
            </w:r>
            <w:r w:rsidR="00593D83">
              <w:rPr>
                <w:rFonts w:ascii="Arial" w:hAnsi="Arial" w:cs="Arial"/>
                <w:b/>
                <w:sz w:val="18"/>
                <w:szCs w:val="18"/>
              </w:rPr>
              <w:t>1</w:t>
            </w:r>
          </w:p>
        </w:tc>
        <w:tc>
          <w:tcPr>
            <w:tcW w:w="2268" w:type="dxa"/>
            <w:shd w:val="clear" w:color="auto" w:fill="auto"/>
            <w:vAlign w:val="center"/>
          </w:tcPr>
          <w:p w14:paraId="659A0BC0" w14:textId="226A41A2" w:rsidR="00437B45" w:rsidRPr="00437B45" w:rsidRDefault="00437B45" w:rsidP="007D4ABE">
            <w:pPr>
              <w:spacing w:after="0" w:line="240" w:lineRule="auto"/>
              <w:jc w:val="center"/>
              <w:rPr>
                <w:rFonts w:ascii="Arial" w:hAnsi="Arial" w:cs="Arial"/>
                <w:b/>
                <w:sz w:val="18"/>
                <w:szCs w:val="18"/>
              </w:rPr>
            </w:pPr>
            <w:r w:rsidRPr="00437B45">
              <w:rPr>
                <w:rFonts w:ascii="Arial" w:hAnsi="Arial" w:cs="Arial"/>
                <w:b/>
                <w:sz w:val="18"/>
                <w:szCs w:val="18"/>
              </w:rPr>
              <w:t>Year ending</w:t>
            </w:r>
            <w:r w:rsidRPr="00437B45">
              <w:rPr>
                <w:rFonts w:ascii="Arial" w:hAnsi="Arial" w:cs="Arial"/>
                <w:b/>
                <w:sz w:val="18"/>
                <w:szCs w:val="18"/>
              </w:rPr>
              <w:br/>
              <w:t>31 March 20</w:t>
            </w:r>
            <w:r w:rsidR="00ED56DA">
              <w:rPr>
                <w:rFonts w:ascii="Arial" w:hAnsi="Arial" w:cs="Arial"/>
                <w:b/>
                <w:sz w:val="18"/>
                <w:szCs w:val="18"/>
              </w:rPr>
              <w:t>2</w:t>
            </w:r>
            <w:r w:rsidR="00593D83">
              <w:rPr>
                <w:rFonts w:ascii="Arial" w:hAnsi="Arial" w:cs="Arial"/>
                <w:b/>
                <w:sz w:val="18"/>
                <w:szCs w:val="18"/>
              </w:rPr>
              <w:t>2</w:t>
            </w:r>
          </w:p>
        </w:tc>
      </w:tr>
      <w:tr w:rsidR="00437B45" w:rsidRPr="00024417" w14:paraId="7CC3B655" w14:textId="77777777" w:rsidTr="00024417">
        <w:trPr>
          <w:trHeight w:val="428"/>
        </w:trPr>
        <w:tc>
          <w:tcPr>
            <w:tcW w:w="4111" w:type="dxa"/>
            <w:shd w:val="clear" w:color="auto" w:fill="auto"/>
            <w:tcMar>
              <w:top w:w="57" w:type="dxa"/>
              <w:left w:w="57" w:type="dxa"/>
              <w:bottom w:w="57" w:type="dxa"/>
              <w:right w:w="57" w:type="dxa"/>
            </w:tcMar>
            <w:vAlign w:val="center"/>
          </w:tcPr>
          <w:p w14:paraId="5DD3A2AB" w14:textId="77777777" w:rsidR="00437B45" w:rsidRPr="00437B45" w:rsidRDefault="00437B45" w:rsidP="00437B45">
            <w:pPr>
              <w:numPr>
                <w:ilvl w:val="0"/>
                <w:numId w:val="1"/>
              </w:numPr>
              <w:spacing w:after="0" w:line="240" w:lineRule="auto"/>
              <w:ind w:left="284" w:hanging="284"/>
              <w:rPr>
                <w:rFonts w:ascii="Arial" w:hAnsi="Arial" w:cs="Arial"/>
                <w:sz w:val="18"/>
                <w:szCs w:val="18"/>
              </w:rPr>
            </w:pPr>
            <w:r w:rsidRPr="00437B45">
              <w:rPr>
                <w:rFonts w:ascii="Arial" w:hAnsi="Arial" w:cs="Arial"/>
                <w:sz w:val="18"/>
                <w:szCs w:val="18"/>
              </w:rPr>
              <w:t>Balances brought forward</w:t>
            </w:r>
          </w:p>
        </w:tc>
        <w:tc>
          <w:tcPr>
            <w:tcW w:w="2693" w:type="dxa"/>
            <w:shd w:val="clear" w:color="auto" w:fill="auto"/>
            <w:vAlign w:val="center"/>
          </w:tcPr>
          <w:p w14:paraId="1B1473F5" w14:textId="560B8ADA" w:rsidR="00437B45" w:rsidRPr="00437B45" w:rsidRDefault="000304CC" w:rsidP="00437B45">
            <w:pPr>
              <w:spacing w:after="0" w:line="240" w:lineRule="auto"/>
              <w:jc w:val="center"/>
              <w:rPr>
                <w:rFonts w:ascii="Arial" w:hAnsi="Arial" w:cs="Arial"/>
                <w:sz w:val="18"/>
                <w:szCs w:val="18"/>
              </w:rPr>
            </w:pPr>
            <w:r>
              <w:rPr>
                <w:rFonts w:ascii="Arial" w:hAnsi="Arial" w:cs="Arial"/>
                <w:sz w:val="18"/>
                <w:szCs w:val="18"/>
              </w:rPr>
              <w:t>17053</w:t>
            </w:r>
          </w:p>
        </w:tc>
        <w:tc>
          <w:tcPr>
            <w:tcW w:w="2268" w:type="dxa"/>
            <w:shd w:val="clear" w:color="auto" w:fill="auto"/>
            <w:vAlign w:val="center"/>
          </w:tcPr>
          <w:p w14:paraId="7AB13ED0" w14:textId="0D400C78" w:rsidR="00437B45" w:rsidRPr="00437B45" w:rsidRDefault="000304CC" w:rsidP="00437B45">
            <w:pPr>
              <w:spacing w:after="0" w:line="240" w:lineRule="auto"/>
              <w:jc w:val="center"/>
              <w:rPr>
                <w:rFonts w:ascii="Arial" w:hAnsi="Arial" w:cs="Arial"/>
                <w:sz w:val="18"/>
                <w:szCs w:val="18"/>
              </w:rPr>
            </w:pPr>
            <w:r>
              <w:rPr>
                <w:rFonts w:ascii="Arial" w:hAnsi="Arial" w:cs="Arial"/>
                <w:sz w:val="18"/>
                <w:szCs w:val="18"/>
              </w:rPr>
              <w:t>16553</w:t>
            </w:r>
          </w:p>
        </w:tc>
      </w:tr>
      <w:tr w:rsidR="00437B45" w:rsidRPr="00024417" w14:paraId="35BAE6FD" w14:textId="77777777" w:rsidTr="00024417">
        <w:trPr>
          <w:trHeight w:val="428"/>
        </w:trPr>
        <w:tc>
          <w:tcPr>
            <w:tcW w:w="4111" w:type="dxa"/>
            <w:shd w:val="clear" w:color="auto" w:fill="auto"/>
            <w:tcMar>
              <w:top w:w="57" w:type="dxa"/>
              <w:left w:w="57" w:type="dxa"/>
              <w:bottom w:w="57" w:type="dxa"/>
              <w:right w:w="57" w:type="dxa"/>
            </w:tcMar>
            <w:vAlign w:val="center"/>
          </w:tcPr>
          <w:p w14:paraId="7B36D5FC" w14:textId="77777777" w:rsidR="00437B45" w:rsidRPr="00437B45" w:rsidRDefault="00437B45" w:rsidP="00437B45">
            <w:pPr>
              <w:numPr>
                <w:ilvl w:val="0"/>
                <w:numId w:val="1"/>
              </w:numPr>
              <w:spacing w:after="0" w:line="240" w:lineRule="auto"/>
              <w:ind w:left="284" w:hanging="284"/>
              <w:rPr>
                <w:rFonts w:ascii="Arial" w:hAnsi="Arial" w:cs="Arial"/>
                <w:sz w:val="18"/>
                <w:szCs w:val="18"/>
              </w:rPr>
            </w:pPr>
            <w:r w:rsidRPr="00437B45">
              <w:rPr>
                <w:rFonts w:ascii="Arial" w:hAnsi="Arial" w:cs="Arial"/>
                <w:sz w:val="18"/>
                <w:szCs w:val="18"/>
              </w:rPr>
              <w:t>Annual precept</w:t>
            </w:r>
          </w:p>
        </w:tc>
        <w:tc>
          <w:tcPr>
            <w:tcW w:w="2693" w:type="dxa"/>
            <w:shd w:val="clear" w:color="auto" w:fill="auto"/>
            <w:vAlign w:val="center"/>
          </w:tcPr>
          <w:p w14:paraId="01BC0F2D" w14:textId="104C5E8D" w:rsidR="00437B45" w:rsidRPr="00437B45" w:rsidRDefault="000304CC" w:rsidP="00437B45">
            <w:pPr>
              <w:spacing w:after="0" w:line="240" w:lineRule="auto"/>
              <w:jc w:val="center"/>
              <w:rPr>
                <w:rFonts w:ascii="Arial" w:hAnsi="Arial" w:cs="Arial"/>
                <w:sz w:val="18"/>
                <w:szCs w:val="18"/>
              </w:rPr>
            </w:pPr>
            <w:r>
              <w:rPr>
                <w:rFonts w:ascii="Arial" w:hAnsi="Arial" w:cs="Arial"/>
                <w:sz w:val="18"/>
                <w:szCs w:val="18"/>
              </w:rPr>
              <w:t>10000</w:t>
            </w:r>
          </w:p>
        </w:tc>
        <w:tc>
          <w:tcPr>
            <w:tcW w:w="2268" w:type="dxa"/>
            <w:shd w:val="clear" w:color="auto" w:fill="auto"/>
            <w:vAlign w:val="center"/>
          </w:tcPr>
          <w:p w14:paraId="269ED0BF" w14:textId="1CFEBA72" w:rsidR="00437B45" w:rsidRPr="00437B45" w:rsidRDefault="000304CC" w:rsidP="00437B45">
            <w:pPr>
              <w:spacing w:after="0" w:line="240" w:lineRule="auto"/>
              <w:jc w:val="center"/>
              <w:rPr>
                <w:rFonts w:ascii="Arial" w:hAnsi="Arial" w:cs="Arial"/>
                <w:sz w:val="18"/>
                <w:szCs w:val="18"/>
              </w:rPr>
            </w:pPr>
            <w:r>
              <w:rPr>
                <w:rFonts w:ascii="Arial" w:hAnsi="Arial" w:cs="Arial"/>
                <w:sz w:val="18"/>
                <w:szCs w:val="18"/>
              </w:rPr>
              <w:t>10000</w:t>
            </w:r>
          </w:p>
        </w:tc>
      </w:tr>
      <w:tr w:rsidR="00437B45" w:rsidRPr="00024417" w14:paraId="1260E3AC" w14:textId="77777777" w:rsidTr="00024417">
        <w:trPr>
          <w:trHeight w:val="428"/>
        </w:trPr>
        <w:tc>
          <w:tcPr>
            <w:tcW w:w="4111" w:type="dxa"/>
            <w:shd w:val="clear" w:color="auto" w:fill="auto"/>
            <w:tcMar>
              <w:top w:w="57" w:type="dxa"/>
              <w:left w:w="57" w:type="dxa"/>
              <w:bottom w:w="57" w:type="dxa"/>
              <w:right w:w="57" w:type="dxa"/>
            </w:tcMar>
            <w:vAlign w:val="center"/>
          </w:tcPr>
          <w:p w14:paraId="5E3C39D8" w14:textId="77777777" w:rsidR="00437B45" w:rsidRPr="00437B45" w:rsidRDefault="00437B45" w:rsidP="00437B45">
            <w:pPr>
              <w:numPr>
                <w:ilvl w:val="0"/>
                <w:numId w:val="1"/>
              </w:numPr>
              <w:spacing w:after="0" w:line="240" w:lineRule="auto"/>
              <w:ind w:left="284" w:hanging="284"/>
              <w:rPr>
                <w:rFonts w:ascii="Arial" w:hAnsi="Arial" w:cs="Arial"/>
                <w:sz w:val="18"/>
                <w:szCs w:val="18"/>
              </w:rPr>
            </w:pPr>
            <w:r w:rsidRPr="00437B45">
              <w:rPr>
                <w:rFonts w:ascii="Arial" w:hAnsi="Arial" w:cs="Arial"/>
                <w:sz w:val="18"/>
                <w:szCs w:val="18"/>
              </w:rPr>
              <w:t>Total other receipts</w:t>
            </w:r>
          </w:p>
        </w:tc>
        <w:tc>
          <w:tcPr>
            <w:tcW w:w="2693" w:type="dxa"/>
            <w:shd w:val="clear" w:color="auto" w:fill="auto"/>
            <w:vAlign w:val="center"/>
          </w:tcPr>
          <w:p w14:paraId="47840DAD" w14:textId="7D30958D" w:rsidR="00437B45" w:rsidRPr="00437B45" w:rsidRDefault="000304CC" w:rsidP="00437B45">
            <w:pPr>
              <w:spacing w:after="0" w:line="240" w:lineRule="auto"/>
              <w:jc w:val="center"/>
              <w:rPr>
                <w:rFonts w:ascii="Arial" w:hAnsi="Arial" w:cs="Arial"/>
                <w:sz w:val="18"/>
                <w:szCs w:val="18"/>
              </w:rPr>
            </w:pPr>
            <w:r>
              <w:rPr>
                <w:rFonts w:ascii="Arial" w:hAnsi="Arial" w:cs="Arial"/>
                <w:sz w:val="18"/>
                <w:szCs w:val="18"/>
              </w:rPr>
              <w:t>40709</w:t>
            </w:r>
          </w:p>
        </w:tc>
        <w:tc>
          <w:tcPr>
            <w:tcW w:w="2268" w:type="dxa"/>
            <w:shd w:val="clear" w:color="auto" w:fill="auto"/>
            <w:vAlign w:val="center"/>
          </w:tcPr>
          <w:p w14:paraId="300D8981" w14:textId="64A293FD" w:rsidR="00437B45" w:rsidRPr="00437B45" w:rsidRDefault="000304CC" w:rsidP="00437B45">
            <w:pPr>
              <w:spacing w:after="0" w:line="240" w:lineRule="auto"/>
              <w:jc w:val="center"/>
              <w:rPr>
                <w:rFonts w:ascii="Arial" w:hAnsi="Arial" w:cs="Arial"/>
                <w:sz w:val="18"/>
                <w:szCs w:val="18"/>
              </w:rPr>
            </w:pPr>
            <w:r>
              <w:rPr>
                <w:rFonts w:ascii="Arial" w:hAnsi="Arial" w:cs="Arial"/>
                <w:sz w:val="18"/>
                <w:szCs w:val="18"/>
              </w:rPr>
              <w:t>33091</w:t>
            </w:r>
          </w:p>
        </w:tc>
      </w:tr>
      <w:tr w:rsidR="00437B45" w:rsidRPr="00024417" w14:paraId="4994A7B0" w14:textId="77777777" w:rsidTr="00024417">
        <w:trPr>
          <w:trHeight w:val="428"/>
        </w:trPr>
        <w:tc>
          <w:tcPr>
            <w:tcW w:w="4111" w:type="dxa"/>
            <w:shd w:val="clear" w:color="auto" w:fill="auto"/>
            <w:tcMar>
              <w:top w:w="57" w:type="dxa"/>
              <w:left w:w="57" w:type="dxa"/>
              <w:bottom w:w="57" w:type="dxa"/>
              <w:right w:w="57" w:type="dxa"/>
            </w:tcMar>
            <w:vAlign w:val="center"/>
          </w:tcPr>
          <w:p w14:paraId="2A0AEDBD" w14:textId="77777777" w:rsidR="00437B45" w:rsidRPr="00437B45" w:rsidRDefault="00437B45" w:rsidP="00437B45">
            <w:pPr>
              <w:numPr>
                <w:ilvl w:val="0"/>
                <w:numId w:val="1"/>
              </w:numPr>
              <w:spacing w:after="0" w:line="240" w:lineRule="auto"/>
              <w:ind w:left="284" w:hanging="284"/>
              <w:rPr>
                <w:rFonts w:ascii="Arial" w:hAnsi="Arial" w:cs="Arial"/>
                <w:sz w:val="18"/>
                <w:szCs w:val="18"/>
              </w:rPr>
            </w:pPr>
            <w:r w:rsidRPr="00437B45">
              <w:rPr>
                <w:rFonts w:ascii="Arial" w:hAnsi="Arial" w:cs="Arial"/>
                <w:sz w:val="18"/>
                <w:szCs w:val="18"/>
              </w:rPr>
              <w:t>Staff costs</w:t>
            </w:r>
          </w:p>
        </w:tc>
        <w:tc>
          <w:tcPr>
            <w:tcW w:w="2693" w:type="dxa"/>
            <w:shd w:val="clear" w:color="auto" w:fill="auto"/>
            <w:vAlign w:val="center"/>
          </w:tcPr>
          <w:p w14:paraId="004F449B" w14:textId="03916C1F" w:rsidR="00437B45" w:rsidRPr="00437B45" w:rsidRDefault="000304CC" w:rsidP="00437B45">
            <w:pPr>
              <w:spacing w:after="0" w:line="240" w:lineRule="auto"/>
              <w:jc w:val="center"/>
              <w:rPr>
                <w:rFonts w:ascii="Arial" w:hAnsi="Arial" w:cs="Arial"/>
                <w:sz w:val="18"/>
                <w:szCs w:val="18"/>
              </w:rPr>
            </w:pPr>
            <w:r>
              <w:rPr>
                <w:rFonts w:ascii="Arial" w:hAnsi="Arial" w:cs="Arial"/>
                <w:sz w:val="18"/>
                <w:szCs w:val="18"/>
              </w:rPr>
              <w:t>3985</w:t>
            </w:r>
          </w:p>
        </w:tc>
        <w:tc>
          <w:tcPr>
            <w:tcW w:w="2268" w:type="dxa"/>
            <w:shd w:val="clear" w:color="auto" w:fill="auto"/>
            <w:vAlign w:val="center"/>
          </w:tcPr>
          <w:p w14:paraId="7C0792B8" w14:textId="24E3D8C0" w:rsidR="00437B45" w:rsidRPr="00437B45" w:rsidRDefault="000304CC" w:rsidP="00437B45">
            <w:pPr>
              <w:spacing w:after="0" w:line="240" w:lineRule="auto"/>
              <w:jc w:val="center"/>
              <w:rPr>
                <w:rFonts w:ascii="Arial" w:hAnsi="Arial" w:cs="Arial"/>
                <w:sz w:val="18"/>
                <w:szCs w:val="18"/>
              </w:rPr>
            </w:pPr>
            <w:r>
              <w:rPr>
                <w:rFonts w:ascii="Arial" w:hAnsi="Arial" w:cs="Arial"/>
                <w:sz w:val="18"/>
                <w:szCs w:val="18"/>
              </w:rPr>
              <w:t>4217</w:t>
            </w:r>
          </w:p>
        </w:tc>
      </w:tr>
      <w:tr w:rsidR="00437B45" w:rsidRPr="00024417" w14:paraId="6F184706" w14:textId="77777777" w:rsidTr="00024417">
        <w:trPr>
          <w:trHeight w:val="428"/>
        </w:trPr>
        <w:tc>
          <w:tcPr>
            <w:tcW w:w="4111" w:type="dxa"/>
            <w:shd w:val="clear" w:color="auto" w:fill="auto"/>
            <w:tcMar>
              <w:top w:w="57" w:type="dxa"/>
              <w:left w:w="57" w:type="dxa"/>
              <w:bottom w:w="57" w:type="dxa"/>
              <w:right w:w="57" w:type="dxa"/>
            </w:tcMar>
            <w:vAlign w:val="center"/>
          </w:tcPr>
          <w:p w14:paraId="66F1E320" w14:textId="77777777" w:rsidR="00437B45" w:rsidRPr="00437B45" w:rsidRDefault="00437B45" w:rsidP="00437B45">
            <w:pPr>
              <w:numPr>
                <w:ilvl w:val="0"/>
                <w:numId w:val="1"/>
              </w:numPr>
              <w:spacing w:after="0" w:line="240" w:lineRule="auto"/>
              <w:ind w:left="284" w:hanging="284"/>
              <w:rPr>
                <w:rFonts w:ascii="Arial" w:hAnsi="Arial" w:cs="Arial"/>
                <w:sz w:val="18"/>
                <w:szCs w:val="18"/>
              </w:rPr>
            </w:pPr>
            <w:r w:rsidRPr="00437B45">
              <w:rPr>
                <w:rFonts w:ascii="Arial" w:hAnsi="Arial" w:cs="Arial"/>
                <w:sz w:val="18"/>
                <w:szCs w:val="18"/>
              </w:rPr>
              <w:t>Loan interest/capital repayments</w:t>
            </w:r>
          </w:p>
        </w:tc>
        <w:tc>
          <w:tcPr>
            <w:tcW w:w="2693" w:type="dxa"/>
            <w:shd w:val="clear" w:color="auto" w:fill="auto"/>
            <w:vAlign w:val="center"/>
          </w:tcPr>
          <w:p w14:paraId="68A33ACF" w14:textId="53FEF845" w:rsidR="00437B45" w:rsidRPr="00437B45" w:rsidRDefault="000304CC" w:rsidP="00437B45">
            <w:pPr>
              <w:spacing w:after="0" w:line="240" w:lineRule="auto"/>
              <w:jc w:val="center"/>
              <w:rPr>
                <w:rFonts w:ascii="Arial" w:hAnsi="Arial" w:cs="Arial"/>
                <w:sz w:val="18"/>
                <w:szCs w:val="18"/>
              </w:rPr>
            </w:pPr>
            <w:r>
              <w:rPr>
                <w:rFonts w:ascii="Arial" w:hAnsi="Arial" w:cs="Arial"/>
                <w:sz w:val="18"/>
                <w:szCs w:val="18"/>
              </w:rPr>
              <w:t>0</w:t>
            </w:r>
          </w:p>
        </w:tc>
        <w:tc>
          <w:tcPr>
            <w:tcW w:w="2268" w:type="dxa"/>
            <w:shd w:val="clear" w:color="auto" w:fill="auto"/>
            <w:vAlign w:val="center"/>
          </w:tcPr>
          <w:p w14:paraId="5913FE86" w14:textId="77874395" w:rsidR="00437B45" w:rsidRPr="00437B45" w:rsidRDefault="000304CC" w:rsidP="00437B45">
            <w:pPr>
              <w:spacing w:after="0" w:line="240" w:lineRule="auto"/>
              <w:jc w:val="center"/>
              <w:rPr>
                <w:rFonts w:ascii="Arial" w:hAnsi="Arial" w:cs="Arial"/>
                <w:sz w:val="18"/>
                <w:szCs w:val="18"/>
              </w:rPr>
            </w:pPr>
            <w:r>
              <w:rPr>
                <w:rFonts w:ascii="Arial" w:hAnsi="Arial" w:cs="Arial"/>
                <w:sz w:val="18"/>
                <w:szCs w:val="18"/>
              </w:rPr>
              <w:t>0</w:t>
            </w:r>
          </w:p>
        </w:tc>
      </w:tr>
      <w:tr w:rsidR="00437B45" w:rsidRPr="00024417" w14:paraId="2ECEE850" w14:textId="77777777" w:rsidTr="00024417">
        <w:trPr>
          <w:trHeight w:val="428"/>
        </w:trPr>
        <w:tc>
          <w:tcPr>
            <w:tcW w:w="4111" w:type="dxa"/>
            <w:shd w:val="clear" w:color="auto" w:fill="auto"/>
            <w:tcMar>
              <w:top w:w="57" w:type="dxa"/>
              <w:left w:w="57" w:type="dxa"/>
              <w:bottom w:w="57" w:type="dxa"/>
              <w:right w:w="57" w:type="dxa"/>
            </w:tcMar>
            <w:vAlign w:val="center"/>
          </w:tcPr>
          <w:p w14:paraId="1169A40C" w14:textId="77777777" w:rsidR="00437B45" w:rsidRPr="00437B45" w:rsidRDefault="00437B45" w:rsidP="00437B45">
            <w:pPr>
              <w:numPr>
                <w:ilvl w:val="0"/>
                <w:numId w:val="1"/>
              </w:numPr>
              <w:spacing w:after="0" w:line="240" w:lineRule="auto"/>
              <w:ind w:left="284" w:hanging="284"/>
              <w:rPr>
                <w:rFonts w:ascii="Arial" w:hAnsi="Arial" w:cs="Arial"/>
                <w:sz w:val="18"/>
                <w:szCs w:val="18"/>
              </w:rPr>
            </w:pPr>
            <w:r w:rsidRPr="00437B45">
              <w:rPr>
                <w:rFonts w:ascii="Arial" w:hAnsi="Arial" w:cs="Arial"/>
                <w:sz w:val="18"/>
                <w:szCs w:val="18"/>
              </w:rPr>
              <w:t>Total other payments</w:t>
            </w:r>
          </w:p>
        </w:tc>
        <w:tc>
          <w:tcPr>
            <w:tcW w:w="2693" w:type="dxa"/>
            <w:shd w:val="clear" w:color="auto" w:fill="auto"/>
            <w:vAlign w:val="center"/>
          </w:tcPr>
          <w:p w14:paraId="1CC7255F" w14:textId="43C495A2" w:rsidR="00437B45" w:rsidRPr="00437B45" w:rsidRDefault="000304CC" w:rsidP="00437B45">
            <w:pPr>
              <w:spacing w:after="0" w:line="240" w:lineRule="auto"/>
              <w:jc w:val="center"/>
              <w:rPr>
                <w:rFonts w:ascii="Arial" w:hAnsi="Arial" w:cs="Arial"/>
                <w:sz w:val="18"/>
                <w:szCs w:val="18"/>
              </w:rPr>
            </w:pPr>
            <w:r>
              <w:rPr>
                <w:rFonts w:ascii="Arial" w:hAnsi="Arial" w:cs="Arial"/>
                <w:sz w:val="18"/>
                <w:szCs w:val="18"/>
              </w:rPr>
              <w:t>47224</w:t>
            </w:r>
          </w:p>
        </w:tc>
        <w:tc>
          <w:tcPr>
            <w:tcW w:w="2268" w:type="dxa"/>
            <w:shd w:val="clear" w:color="auto" w:fill="auto"/>
            <w:vAlign w:val="center"/>
          </w:tcPr>
          <w:p w14:paraId="1EF16C27" w14:textId="2836803A" w:rsidR="00437B45" w:rsidRPr="00437B45" w:rsidRDefault="000304CC" w:rsidP="00437B45">
            <w:pPr>
              <w:spacing w:after="0" w:line="240" w:lineRule="auto"/>
              <w:jc w:val="center"/>
              <w:rPr>
                <w:rFonts w:ascii="Arial" w:hAnsi="Arial" w:cs="Arial"/>
                <w:sz w:val="18"/>
                <w:szCs w:val="18"/>
              </w:rPr>
            </w:pPr>
            <w:r>
              <w:rPr>
                <w:rFonts w:ascii="Arial" w:hAnsi="Arial" w:cs="Arial"/>
                <w:sz w:val="18"/>
                <w:szCs w:val="18"/>
              </w:rPr>
              <w:t>45207</w:t>
            </w:r>
          </w:p>
        </w:tc>
      </w:tr>
      <w:tr w:rsidR="00437B45" w:rsidRPr="00024417" w14:paraId="12877C4A" w14:textId="77777777" w:rsidTr="00024417">
        <w:trPr>
          <w:trHeight w:val="428"/>
        </w:trPr>
        <w:tc>
          <w:tcPr>
            <w:tcW w:w="4111" w:type="dxa"/>
            <w:shd w:val="clear" w:color="auto" w:fill="auto"/>
            <w:tcMar>
              <w:top w:w="57" w:type="dxa"/>
              <w:left w:w="57" w:type="dxa"/>
              <w:bottom w:w="57" w:type="dxa"/>
              <w:right w:w="57" w:type="dxa"/>
            </w:tcMar>
            <w:vAlign w:val="center"/>
          </w:tcPr>
          <w:p w14:paraId="52B31E3A" w14:textId="77777777" w:rsidR="00437B45" w:rsidRPr="00437B45" w:rsidRDefault="00437B45" w:rsidP="00437B45">
            <w:pPr>
              <w:numPr>
                <w:ilvl w:val="0"/>
                <w:numId w:val="1"/>
              </w:numPr>
              <w:spacing w:after="0" w:line="240" w:lineRule="auto"/>
              <w:ind w:left="284" w:hanging="284"/>
              <w:rPr>
                <w:rFonts w:ascii="Arial" w:hAnsi="Arial" w:cs="Arial"/>
                <w:sz w:val="18"/>
                <w:szCs w:val="18"/>
              </w:rPr>
            </w:pPr>
            <w:r w:rsidRPr="00437B45">
              <w:rPr>
                <w:rFonts w:ascii="Arial" w:hAnsi="Arial" w:cs="Arial"/>
                <w:sz w:val="18"/>
                <w:szCs w:val="18"/>
              </w:rPr>
              <w:t>Balances carried forward</w:t>
            </w:r>
          </w:p>
        </w:tc>
        <w:tc>
          <w:tcPr>
            <w:tcW w:w="2693" w:type="dxa"/>
            <w:shd w:val="clear" w:color="auto" w:fill="auto"/>
            <w:vAlign w:val="center"/>
          </w:tcPr>
          <w:p w14:paraId="3C9B76C1" w14:textId="4351C4D9" w:rsidR="00437B45" w:rsidRPr="00437B45" w:rsidRDefault="000304CC" w:rsidP="00437B45">
            <w:pPr>
              <w:spacing w:after="0" w:line="240" w:lineRule="auto"/>
              <w:jc w:val="center"/>
              <w:rPr>
                <w:rFonts w:ascii="Arial" w:hAnsi="Arial" w:cs="Arial"/>
                <w:sz w:val="18"/>
                <w:szCs w:val="18"/>
              </w:rPr>
            </w:pPr>
            <w:r>
              <w:rPr>
                <w:rFonts w:ascii="Arial" w:hAnsi="Arial" w:cs="Arial"/>
                <w:sz w:val="18"/>
                <w:szCs w:val="18"/>
              </w:rPr>
              <w:t>16553</w:t>
            </w:r>
          </w:p>
        </w:tc>
        <w:tc>
          <w:tcPr>
            <w:tcW w:w="2268" w:type="dxa"/>
            <w:shd w:val="clear" w:color="auto" w:fill="auto"/>
            <w:vAlign w:val="center"/>
          </w:tcPr>
          <w:p w14:paraId="3327A23B" w14:textId="47B32CED" w:rsidR="00437B45" w:rsidRPr="00437B45" w:rsidRDefault="000304CC" w:rsidP="00437B45">
            <w:pPr>
              <w:spacing w:after="0" w:line="240" w:lineRule="auto"/>
              <w:jc w:val="center"/>
              <w:rPr>
                <w:rFonts w:ascii="Arial" w:hAnsi="Arial" w:cs="Arial"/>
                <w:sz w:val="18"/>
                <w:szCs w:val="18"/>
              </w:rPr>
            </w:pPr>
            <w:r>
              <w:rPr>
                <w:rFonts w:ascii="Arial" w:hAnsi="Arial" w:cs="Arial"/>
                <w:sz w:val="18"/>
                <w:szCs w:val="18"/>
              </w:rPr>
              <w:t>10220</w:t>
            </w:r>
          </w:p>
        </w:tc>
      </w:tr>
      <w:tr w:rsidR="00437B45" w:rsidRPr="00024417" w14:paraId="3820CAEB" w14:textId="77777777" w:rsidTr="00024417">
        <w:trPr>
          <w:trHeight w:val="428"/>
        </w:trPr>
        <w:tc>
          <w:tcPr>
            <w:tcW w:w="4111" w:type="dxa"/>
            <w:shd w:val="clear" w:color="auto" w:fill="auto"/>
            <w:tcMar>
              <w:top w:w="57" w:type="dxa"/>
              <w:left w:w="57" w:type="dxa"/>
              <w:bottom w:w="57" w:type="dxa"/>
              <w:right w:w="57" w:type="dxa"/>
            </w:tcMar>
            <w:vAlign w:val="center"/>
          </w:tcPr>
          <w:p w14:paraId="72B7E7F7" w14:textId="77777777" w:rsidR="00437B45" w:rsidRPr="00437B45" w:rsidRDefault="00437B45" w:rsidP="00437B45">
            <w:pPr>
              <w:numPr>
                <w:ilvl w:val="0"/>
                <w:numId w:val="1"/>
              </w:numPr>
              <w:spacing w:after="0" w:line="240" w:lineRule="auto"/>
              <w:ind w:left="284" w:hanging="284"/>
              <w:rPr>
                <w:rFonts w:ascii="Arial" w:hAnsi="Arial" w:cs="Arial"/>
                <w:sz w:val="18"/>
                <w:szCs w:val="18"/>
              </w:rPr>
            </w:pPr>
            <w:r w:rsidRPr="00437B45">
              <w:rPr>
                <w:rFonts w:ascii="Arial" w:hAnsi="Arial" w:cs="Arial"/>
                <w:sz w:val="18"/>
                <w:szCs w:val="18"/>
              </w:rPr>
              <w:t>Total cash and investments</w:t>
            </w:r>
          </w:p>
        </w:tc>
        <w:tc>
          <w:tcPr>
            <w:tcW w:w="2693" w:type="dxa"/>
            <w:shd w:val="clear" w:color="auto" w:fill="auto"/>
            <w:vAlign w:val="center"/>
          </w:tcPr>
          <w:p w14:paraId="144ADAB5" w14:textId="56EEA1DF" w:rsidR="00437B45" w:rsidRPr="00437B45" w:rsidRDefault="000304CC" w:rsidP="00437B45">
            <w:pPr>
              <w:spacing w:after="0" w:line="240" w:lineRule="auto"/>
              <w:jc w:val="center"/>
              <w:rPr>
                <w:rFonts w:ascii="Arial" w:hAnsi="Arial" w:cs="Arial"/>
                <w:sz w:val="18"/>
                <w:szCs w:val="18"/>
              </w:rPr>
            </w:pPr>
            <w:r>
              <w:rPr>
                <w:rFonts w:ascii="Arial" w:hAnsi="Arial" w:cs="Arial"/>
                <w:sz w:val="18"/>
                <w:szCs w:val="18"/>
              </w:rPr>
              <w:t>16553</w:t>
            </w:r>
          </w:p>
        </w:tc>
        <w:tc>
          <w:tcPr>
            <w:tcW w:w="2268" w:type="dxa"/>
            <w:shd w:val="clear" w:color="auto" w:fill="auto"/>
            <w:vAlign w:val="center"/>
          </w:tcPr>
          <w:p w14:paraId="16B4FB7E" w14:textId="1DAAEF6C" w:rsidR="00437B45" w:rsidRPr="00437B45" w:rsidRDefault="000304CC" w:rsidP="00437B45">
            <w:pPr>
              <w:spacing w:after="0" w:line="240" w:lineRule="auto"/>
              <w:jc w:val="center"/>
              <w:rPr>
                <w:rFonts w:ascii="Arial" w:hAnsi="Arial" w:cs="Arial"/>
                <w:sz w:val="18"/>
                <w:szCs w:val="18"/>
              </w:rPr>
            </w:pPr>
            <w:r>
              <w:rPr>
                <w:rFonts w:ascii="Arial" w:hAnsi="Arial" w:cs="Arial"/>
                <w:sz w:val="18"/>
                <w:szCs w:val="18"/>
              </w:rPr>
              <w:t>10220</w:t>
            </w:r>
          </w:p>
        </w:tc>
      </w:tr>
      <w:tr w:rsidR="00437B45" w:rsidRPr="00024417" w14:paraId="17F526CB" w14:textId="77777777" w:rsidTr="00024417">
        <w:trPr>
          <w:trHeight w:val="428"/>
        </w:trPr>
        <w:tc>
          <w:tcPr>
            <w:tcW w:w="4111" w:type="dxa"/>
            <w:shd w:val="clear" w:color="auto" w:fill="auto"/>
            <w:tcMar>
              <w:top w:w="57" w:type="dxa"/>
              <w:left w:w="57" w:type="dxa"/>
              <w:bottom w:w="57" w:type="dxa"/>
              <w:right w:w="57" w:type="dxa"/>
            </w:tcMar>
            <w:vAlign w:val="center"/>
          </w:tcPr>
          <w:p w14:paraId="5D157169" w14:textId="77777777" w:rsidR="00437B45" w:rsidRPr="00437B45" w:rsidRDefault="00437B45" w:rsidP="00437B45">
            <w:pPr>
              <w:numPr>
                <w:ilvl w:val="0"/>
                <w:numId w:val="1"/>
              </w:numPr>
              <w:spacing w:after="0" w:line="240" w:lineRule="auto"/>
              <w:ind w:left="284" w:hanging="284"/>
              <w:rPr>
                <w:rFonts w:ascii="Arial" w:hAnsi="Arial" w:cs="Arial"/>
                <w:sz w:val="18"/>
                <w:szCs w:val="18"/>
              </w:rPr>
            </w:pPr>
            <w:r w:rsidRPr="00437B45">
              <w:rPr>
                <w:rFonts w:ascii="Arial" w:hAnsi="Arial" w:cs="Arial"/>
                <w:sz w:val="18"/>
                <w:szCs w:val="18"/>
              </w:rPr>
              <w:t xml:space="preserve">Total fixed assets and </w:t>
            </w:r>
            <w:r w:rsidR="00BC7835" w:rsidRPr="00437B45">
              <w:rPr>
                <w:rFonts w:ascii="Arial" w:hAnsi="Arial" w:cs="Arial"/>
                <w:sz w:val="18"/>
                <w:szCs w:val="18"/>
              </w:rPr>
              <w:t>long-term</w:t>
            </w:r>
            <w:r w:rsidRPr="00437B45">
              <w:rPr>
                <w:rFonts w:ascii="Arial" w:hAnsi="Arial" w:cs="Arial"/>
                <w:sz w:val="18"/>
                <w:szCs w:val="18"/>
              </w:rPr>
              <w:t xml:space="preserve"> assets</w:t>
            </w:r>
          </w:p>
        </w:tc>
        <w:tc>
          <w:tcPr>
            <w:tcW w:w="2693" w:type="dxa"/>
            <w:shd w:val="clear" w:color="auto" w:fill="auto"/>
            <w:vAlign w:val="center"/>
          </w:tcPr>
          <w:p w14:paraId="1AACB365" w14:textId="2141307E" w:rsidR="00437B45" w:rsidRPr="00437B45" w:rsidRDefault="00FC4D90" w:rsidP="00437B45">
            <w:pPr>
              <w:spacing w:after="0" w:line="240" w:lineRule="auto"/>
              <w:jc w:val="center"/>
              <w:rPr>
                <w:rFonts w:ascii="Arial" w:hAnsi="Arial" w:cs="Arial"/>
                <w:sz w:val="18"/>
                <w:szCs w:val="18"/>
              </w:rPr>
            </w:pPr>
            <w:r>
              <w:rPr>
                <w:rFonts w:ascii="Arial" w:hAnsi="Arial" w:cs="Arial"/>
                <w:sz w:val="18"/>
                <w:szCs w:val="18"/>
              </w:rPr>
              <w:t>26529</w:t>
            </w:r>
          </w:p>
        </w:tc>
        <w:tc>
          <w:tcPr>
            <w:tcW w:w="2268" w:type="dxa"/>
            <w:shd w:val="clear" w:color="auto" w:fill="auto"/>
            <w:vAlign w:val="center"/>
          </w:tcPr>
          <w:p w14:paraId="6E6AF2E5" w14:textId="57853428" w:rsidR="00437B45" w:rsidRPr="00437B45" w:rsidRDefault="00FC4D90" w:rsidP="00437B45">
            <w:pPr>
              <w:spacing w:after="0" w:line="240" w:lineRule="auto"/>
              <w:jc w:val="center"/>
              <w:rPr>
                <w:rFonts w:ascii="Arial" w:hAnsi="Arial" w:cs="Arial"/>
                <w:sz w:val="18"/>
                <w:szCs w:val="18"/>
              </w:rPr>
            </w:pPr>
            <w:r>
              <w:rPr>
                <w:rFonts w:ascii="Arial" w:hAnsi="Arial" w:cs="Arial"/>
                <w:sz w:val="18"/>
                <w:szCs w:val="18"/>
              </w:rPr>
              <w:t>27290</w:t>
            </w:r>
          </w:p>
        </w:tc>
      </w:tr>
      <w:tr w:rsidR="00437B45" w:rsidRPr="00024417" w14:paraId="52C814AE" w14:textId="77777777" w:rsidTr="00024417">
        <w:trPr>
          <w:trHeight w:val="428"/>
        </w:trPr>
        <w:tc>
          <w:tcPr>
            <w:tcW w:w="4111" w:type="dxa"/>
            <w:shd w:val="clear" w:color="auto" w:fill="auto"/>
            <w:tcMar>
              <w:top w:w="57" w:type="dxa"/>
              <w:left w:w="57" w:type="dxa"/>
              <w:bottom w:w="57" w:type="dxa"/>
              <w:right w:w="57" w:type="dxa"/>
            </w:tcMar>
            <w:vAlign w:val="center"/>
          </w:tcPr>
          <w:p w14:paraId="32DDE6EE" w14:textId="77777777" w:rsidR="00437B45" w:rsidRPr="00437B45" w:rsidRDefault="00437B45" w:rsidP="00437B45">
            <w:pPr>
              <w:numPr>
                <w:ilvl w:val="0"/>
                <w:numId w:val="1"/>
              </w:numPr>
              <w:spacing w:after="0" w:line="240" w:lineRule="auto"/>
              <w:ind w:left="284" w:hanging="284"/>
              <w:rPr>
                <w:rFonts w:ascii="Arial" w:hAnsi="Arial" w:cs="Arial"/>
                <w:sz w:val="18"/>
                <w:szCs w:val="18"/>
              </w:rPr>
            </w:pPr>
            <w:r w:rsidRPr="00437B45">
              <w:rPr>
                <w:rFonts w:ascii="Arial" w:hAnsi="Arial" w:cs="Arial"/>
                <w:sz w:val="18"/>
                <w:szCs w:val="18"/>
              </w:rPr>
              <w:t>Total borrowings</w:t>
            </w:r>
          </w:p>
        </w:tc>
        <w:tc>
          <w:tcPr>
            <w:tcW w:w="2693" w:type="dxa"/>
            <w:shd w:val="clear" w:color="auto" w:fill="auto"/>
            <w:vAlign w:val="center"/>
          </w:tcPr>
          <w:p w14:paraId="05F1003F" w14:textId="6FB2B45A" w:rsidR="00437B45" w:rsidRPr="00437B45" w:rsidRDefault="00FC4D90" w:rsidP="00437B45">
            <w:pPr>
              <w:spacing w:after="0" w:line="240" w:lineRule="auto"/>
              <w:jc w:val="center"/>
              <w:rPr>
                <w:rFonts w:ascii="Arial" w:hAnsi="Arial" w:cs="Arial"/>
                <w:sz w:val="18"/>
                <w:szCs w:val="18"/>
              </w:rPr>
            </w:pPr>
            <w:r>
              <w:rPr>
                <w:rFonts w:ascii="Arial" w:hAnsi="Arial" w:cs="Arial"/>
                <w:sz w:val="18"/>
                <w:szCs w:val="18"/>
              </w:rPr>
              <w:t>0</w:t>
            </w:r>
          </w:p>
        </w:tc>
        <w:tc>
          <w:tcPr>
            <w:tcW w:w="2268" w:type="dxa"/>
            <w:shd w:val="clear" w:color="auto" w:fill="auto"/>
            <w:vAlign w:val="center"/>
          </w:tcPr>
          <w:p w14:paraId="09A324D1" w14:textId="35BDD416" w:rsidR="00437B45" w:rsidRPr="00437B45" w:rsidRDefault="00FC4D90" w:rsidP="00437B45">
            <w:pPr>
              <w:spacing w:after="0" w:line="240" w:lineRule="auto"/>
              <w:jc w:val="center"/>
              <w:rPr>
                <w:rFonts w:ascii="Arial" w:hAnsi="Arial" w:cs="Arial"/>
                <w:sz w:val="18"/>
                <w:szCs w:val="18"/>
              </w:rPr>
            </w:pPr>
            <w:r>
              <w:rPr>
                <w:rFonts w:ascii="Arial" w:hAnsi="Arial" w:cs="Arial"/>
                <w:sz w:val="18"/>
                <w:szCs w:val="18"/>
              </w:rPr>
              <w:t>0</w:t>
            </w:r>
          </w:p>
        </w:tc>
      </w:tr>
    </w:tbl>
    <w:p w14:paraId="60CE3E3C" w14:textId="77777777" w:rsidR="00437B45" w:rsidRPr="00437B45" w:rsidRDefault="00437B45" w:rsidP="00437B45">
      <w:pPr>
        <w:pStyle w:val="NoSpacing"/>
        <w:rPr>
          <w:rFonts w:ascii="Arial" w:hAnsi="Arial" w:cs="Arial"/>
        </w:rPr>
      </w:pPr>
    </w:p>
    <w:p w14:paraId="63367AA2" w14:textId="77777777" w:rsidR="00437B45" w:rsidRPr="00437B45" w:rsidRDefault="00437B45" w:rsidP="00437B45">
      <w:pPr>
        <w:pStyle w:val="NoSpacing"/>
        <w:rPr>
          <w:rFonts w:ascii="Arial" w:hAnsi="Arial" w:cs="Arial"/>
        </w:rPr>
      </w:pPr>
    </w:p>
    <w:p w14:paraId="3C0B75D7" w14:textId="77777777" w:rsidR="00437B45" w:rsidRPr="00437B45" w:rsidRDefault="00437B45" w:rsidP="00437B45">
      <w:pPr>
        <w:pStyle w:val="NoSpacing"/>
        <w:rPr>
          <w:rFonts w:ascii="Arial" w:hAnsi="Arial" w:cs="Arial"/>
        </w:rPr>
      </w:pPr>
    </w:p>
    <w:p w14:paraId="1EB47C8B" w14:textId="2D622168" w:rsidR="0005644E" w:rsidRPr="00437B45" w:rsidRDefault="00437B45" w:rsidP="00437B45">
      <w:pPr>
        <w:pStyle w:val="NoSpacing"/>
        <w:rPr>
          <w:rFonts w:ascii="Arial" w:hAnsi="Arial" w:cs="Arial"/>
        </w:rPr>
      </w:pPr>
      <w:r w:rsidRPr="00437B45">
        <w:rPr>
          <w:rFonts w:ascii="Arial" w:hAnsi="Arial" w:cs="Arial"/>
        </w:rPr>
        <w:t xml:space="preserve">The proper practices referred to in Accounts and Audit Regulations are set out in </w:t>
      </w:r>
      <w:r w:rsidR="009430B7">
        <w:rPr>
          <w:rFonts w:ascii="Arial" w:hAnsi="Arial" w:cs="Arial"/>
          <w:i/>
        </w:rPr>
        <w:t>JPAG Practitioners Guide 2021</w:t>
      </w:r>
      <w:r w:rsidRPr="00437B45">
        <w:rPr>
          <w:rFonts w:ascii="Arial" w:hAnsi="Arial" w:cs="Arial"/>
        </w:rPr>
        <w:t xml:space="preserve">.  It is a guide to the accounting practices to be followed by local </w:t>
      </w:r>
      <w:r w:rsidR="00BC7835" w:rsidRPr="00437B45">
        <w:rPr>
          <w:rFonts w:ascii="Arial" w:hAnsi="Arial" w:cs="Arial"/>
        </w:rPr>
        <w:t>councils and</w:t>
      </w:r>
      <w:r w:rsidRPr="00437B45">
        <w:rPr>
          <w:rFonts w:ascii="Arial" w:hAnsi="Arial" w:cs="Arial"/>
        </w:rPr>
        <w:t xml:space="preserve"> </w:t>
      </w:r>
      <w:r w:rsidR="00BC7835">
        <w:rPr>
          <w:rFonts w:ascii="Arial" w:hAnsi="Arial" w:cs="Arial"/>
        </w:rPr>
        <w:t xml:space="preserve">it </w:t>
      </w:r>
      <w:r w:rsidRPr="00437B45">
        <w:rPr>
          <w:rFonts w:ascii="Arial" w:hAnsi="Arial" w:cs="Arial"/>
        </w:rPr>
        <w:t>sets out the appropriate standard of financial reporting to be followed.  A copy of the guide is available for free download from</w:t>
      </w:r>
      <w:r w:rsidR="00415991">
        <w:rPr>
          <w:rFonts w:ascii="Arial" w:hAnsi="Arial" w:cs="Arial"/>
        </w:rPr>
        <w:t>:</w:t>
      </w:r>
    </w:p>
    <w:p w14:paraId="0D1AA642" w14:textId="77777777" w:rsidR="00437B45" w:rsidRPr="003921D8" w:rsidRDefault="00437B45" w:rsidP="00437B45">
      <w:pPr>
        <w:pStyle w:val="NoSpacing"/>
        <w:rPr>
          <w:rFonts w:ascii="Arial" w:hAnsi="Arial" w:cs="Arial"/>
        </w:rPr>
      </w:pPr>
    </w:p>
    <w:p w14:paraId="34428247" w14:textId="642439FB" w:rsidR="00BB6420" w:rsidRPr="003921D8" w:rsidRDefault="00BB6420" w:rsidP="00437B45">
      <w:pPr>
        <w:pStyle w:val="NoSpacing"/>
        <w:rPr>
          <w:rFonts w:ascii="Arial" w:hAnsi="Arial" w:cs="Arial"/>
        </w:rPr>
      </w:pPr>
    </w:p>
    <w:p w14:paraId="73E11D3C" w14:textId="320A6108" w:rsidR="003921D8" w:rsidRPr="003921D8" w:rsidRDefault="00687465" w:rsidP="00437B45">
      <w:pPr>
        <w:pStyle w:val="NoSpacing"/>
        <w:rPr>
          <w:rFonts w:ascii="Arial" w:hAnsi="Arial" w:cs="Arial"/>
        </w:rPr>
      </w:pPr>
      <w:hyperlink r:id="rId11" w:history="1">
        <w:r w:rsidR="009430B7" w:rsidRPr="00132621">
          <w:rPr>
            <w:rStyle w:val="Hyperlink"/>
            <w:rFonts w:ascii="Arial" w:hAnsi="Arial" w:cs="Arial"/>
          </w:rPr>
          <w:t>https://www.leicestershireandrutlandalc.gov.uk/uploads/practitioners-guide-2021-1.pdf</w:t>
        </w:r>
      </w:hyperlink>
      <w:r w:rsidR="009430B7">
        <w:rPr>
          <w:rFonts w:ascii="Arial" w:hAnsi="Arial" w:cs="Arial"/>
        </w:rPr>
        <w:t xml:space="preserve"> </w:t>
      </w:r>
    </w:p>
    <w:p w14:paraId="1DD57DB4" w14:textId="77777777" w:rsidR="00BC7835" w:rsidRPr="003921D8" w:rsidRDefault="00BC7835" w:rsidP="00437B45">
      <w:pPr>
        <w:pStyle w:val="NoSpacing"/>
        <w:rPr>
          <w:rFonts w:ascii="Arial" w:hAnsi="Arial" w:cs="Arial"/>
        </w:rPr>
      </w:pPr>
    </w:p>
    <w:p w14:paraId="224418F1" w14:textId="77777777" w:rsidR="00415991" w:rsidRPr="003921D8" w:rsidRDefault="00415991" w:rsidP="00437B45">
      <w:pPr>
        <w:pStyle w:val="NoSpacing"/>
        <w:rPr>
          <w:rFonts w:ascii="Arial" w:hAnsi="Arial" w:cs="Arial"/>
        </w:rPr>
      </w:pPr>
    </w:p>
    <w:p w14:paraId="297D9205" w14:textId="77777777" w:rsidR="00437B45" w:rsidRPr="00437B45" w:rsidRDefault="00437B45" w:rsidP="00437B45">
      <w:pPr>
        <w:pStyle w:val="NoSpacing"/>
        <w:rPr>
          <w:rFonts w:ascii="Arial" w:hAnsi="Arial" w:cs="Arial"/>
        </w:rPr>
      </w:pPr>
    </w:p>
    <w:sectPr w:rsidR="00437B45" w:rsidRPr="00437B45" w:rsidSect="00024417">
      <w:headerReference w:type="default" r:id="rId12"/>
      <w:footerReference w:type="default" r:id="rId13"/>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6F1FE" w14:textId="77777777" w:rsidR="00687465" w:rsidRDefault="00687465" w:rsidP="00310392">
      <w:pPr>
        <w:spacing w:after="0" w:line="240" w:lineRule="auto"/>
      </w:pPr>
      <w:r>
        <w:separator/>
      </w:r>
    </w:p>
  </w:endnote>
  <w:endnote w:type="continuationSeparator" w:id="0">
    <w:p w14:paraId="5DD38547" w14:textId="77777777" w:rsidR="00687465" w:rsidRDefault="00687465" w:rsidP="00310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BDC72" w14:textId="7FF4E673" w:rsidR="008C698A" w:rsidRPr="000F3525" w:rsidRDefault="008C698A" w:rsidP="000F3525">
    <w:pPr>
      <w:pStyle w:val="Footer"/>
      <w:jc w:val="right"/>
    </w:pPr>
    <w:r w:rsidRPr="00310392">
      <w:rPr>
        <w:rFonts w:ascii="Arial" w:hAnsi="Arial" w:cs="Arial"/>
        <w:sz w:val="18"/>
      </w:rPr>
      <w:t xml:space="preserve">Page | </w:t>
    </w:r>
    <w:r w:rsidR="000F3525">
      <w:rPr>
        <w:rFonts w:ascii="Arial" w:hAnsi="Arial" w:cs="Arial"/>
        <w:sz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D13DE" w14:textId="77777777" w:rsidR="00687465" w:rsidRDefault="00687465" w:rsidP="00310392">
      <w:pPr>
        <w:spacing w:after="0" w:line="240" w:lineRule="auto"/>
      </w:pPr>
      <w:r>
        <w:separator/>
      </w:r>
    </w:p>
  </w:footnote>
  <w:footnote w:type="continuationSeparator" w:id="0">
    <w:p w14:paraId="1FDB0F3A" w14:textId="77777777" w:rsidR="00687465" w:rsidRDefault="00687465" w:rsidP="003103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EDDA3" w14:textId="77777777" w:rsidR="008544F9" w:rsidRPr="008544F9" w:rsidRDefault="008544F9" w:rsidP="008544F9">
    <w:pPr>
      <w:tabs>
        <w:tab w:val="center" w:pos="4513"/>
        <w:tab w:val="right" w:pos="9026"/>
      </w:tabs>
      <w:spacing w:after="0" w:line="240" w:lineRule="auto"/>
      <w:rPr>
        <w:rFonts w:ascii="Times New Roman" w:eastAsia="Times New Roman" w:hAnsi="Times New Roman"/>
        <w:sz w:val="20"/>
        <w:szCs w:val="20"/>
      </w:rPr>
    </w:pPr>
  </w:p>
  <w:p w14:paraId="4FA2FF0C" w14:textId="77777777" w:rsidR="008544F9" w:rsidRDefault="008544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96001"/>
    <w:multiLevelType w:val="multilevel"/>
    <w:tmpl w:val="BAF0308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48E94685"/>
    <w:multiLevelType w:val="hybridMultilevel"/>
    <w:tmpl w:val="40D8F6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7870870">
    <w:abstractNumId w:val="1"/>
  </w:num>
  <w:num w:numId="2" w16cid:durableId="1600336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8D2"/>
    <w:rsid w:val="00005926"/>
    <w:rsid w:val="00020C51"/>
    <w:rsid w:val="00024417"/>
    <w:rsid w:val="000304CC"/>
    <w:rsid w:val="0005644E"/>
    <w:rsid w:val="00083A30"/>
    <w:rsid w:val="000A47E9"/>
    <w:rsid w:val="000A4963"/>
    <w:rsid w:val="000D1D28"/>
    <w:rsid w:val="000D2A2B"/>
    <w:rsid w:val="000F3525"/>
    <w:rsid w:val="001032D5"/>
    <w:rsid w:val="001F2E2B"/>
    <w:rsid w:val="0021101D"/>
    <w:rsid w:val="00211566"/>
    <w:rsid w:val="00281A7E"/>
    <w:rsid w:val="002D3183"/>
    <w:rsid w:val="002F37B0"/>
    <w:rsid w:val="00305EE4"/>
    <w:rsid w:val="00310392"/>
    <w:rsid w:val="00353BB4"/>
    <w:rsid w:val="00360676"/>
    <w:rsid w:val="003921D8"/>
    <w:rsid w:val="003B694C"/>
    <w:rsid w:val="00415991"/>
    <w:rsid w:val="00437B45"/>
    <w:rsid w:val="00446BF4"/>
    <w:rsid w:val="0047299E"/>
    <w:rsid w:val="004A30A4"/>
    <w:rsid w:val="004C70B9"/>
    <w:rsid w:val="004D03EC"/>
    <w:rsid w:val="004D67D5"/>
    <w:rsid w:val="00500A8C"/>
    <w:rsid w:val="005213CE"/>
    <w:rsid w:val="00593D83"/>
    <w:rsid w:val="005952DD"/>
    <w:rsid w:val="005A008D"/>
    <w:rsid w:val="005B713F"/>
    <w:rsid w:val="00637E14"/>
    <w:rsid w:val="00654DE9"/>
    <w:rsid w:val="00687465"/>
    <w:rsid w:val="006A5FBF"/>
    <w:rsid w:val="006B1913"/>
    <w:rsid w:val="006D4833"/>
    <w:rsid w:val="006E3B2F"/>
    <w:rsid w:val="006F3356"/>
    <w:rsid w:val="00715245"/>
    <w:rsid w:val="0073770C"/>
    <w:rsid w:val="0074712B"/>
    <w:rsid w:val="00766395"/>
    <w:rsid w:val="007734A3"/>
    <w:rsid w:val="00782D02"/>
    <w:rsid w:val="007A667B"/>
    <w:rsid w:val="007C6364"/>
    <w:rsid w:val="007D4ABE"/>
    <w:rsid w:val="008544F9"/>
    <w:rsid w:val="008A42E0"/>
    <w:rsid w:val="008C698A"/>
    <w:rsid w:val="00925CB9"/>
    <w:rsid w:val="009430B7"/>
    <w:rsid w:val="009B5CD2"/>
    <w:rsid w:val="00A716FB"/>
    <w:rsid w:val="00AD72FC"/>
    <w:rsid w:val="00B14CB9"/>
    <w:rsid w:val="00B22D4E"/>
    <w:rsid w:val="00B650A2"/>
    <w:rsid w:val="00BB6420"/>
    <w:rsid w:val="00BC7835"/>
    <w:rsid w:val="00BF065F"/>
    <w:rsid w:val="00C07C17"/>
    <w:rsid w:val="00C116B5"/>
    <w:rsid w:val="00C30734"/>
    <w:rsid w:val="00C308D2"/>
    <w:rsid w:val="00C7324A"/>
    <w:rsid w:val="00CD1383"/>
    <w:rsid w:val="00CD4128"/>
    <w:rsid w:val="00CF28FB"/>
    <w:rsid w:val="00D105B0"/>
    <w:rsid w:val="00DB516E"/>
    <w:rsid w:val="00E022ED"/>
    <w:rsid w:val="00E161C6"/>
    <w:rsid w:val="00E77234"/>
    <w:rsid w:val="00EB5778"/>
    <w:rsid w:val="00ED56DA"/>
    <w:rsid w:val="00EF0551"/>
    <w:rsid w:val="00F1405D"/>
    <w:rsid w:val="00F30338"/>
    <w:rsid w:val="00F47C2C"/>
    <w:rsid w:val="00FB763A"/>
    <w:rsid w:val="00FC4D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2346D"/>
  <w15:chartTrackingRefBased/>
  <w15:docId w15:val="{B9591B18-F05E-42B6-A12A-216F61661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08D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308D2"/>
    <w:rPr>
      <w:rFonts w:ascii="Tahoma" w:hAnsi="Tahoma" w:cs="Tahoma"/>
      <w:sz w:val="16"/>
      <w:szCs w:val="16"/>
    </w:rPr>
  </w:style>
  <w:style w:type="paragraph" w:styleId="NoSpacing">
    <w:name w:val="No Spacing"/>
    <w:uiPriority w:val="1"/>
    <w:qFormat/>
    <w:rsid w:val="00C308D2"/>
    <w:rPr>
      <w:sz w:val="22"/>
      <w:szCs w:val="22"/>
      <w:lang w:eastAsia="en-US"/>
    </w:rPr>
  </w:style>
  <w:style w:type="table" w:styleId="TableGrid">
    <w:name w:val="Table Grid"/>
    <w:basedOn w:val="TableNormal"/>
    <w:uiPriority w:val="59"/>
    <w:rsid w:val="00C30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5644E"/>
    <w:pPr>
      <w:autoSpaceDE w:val="0"/>
      <w:autoSpaceDN w:val="0"/>
      <w:adjustRightInd w:val="0"/>
    </w:pPr>
    <w:rPr>
      <w:rFonts w:ascii="Arial" w:hAnsi="Arial" w:cs="Arial"/>
      <w:color w:val="000000"/>
      <w:sz w:val="24"/>
      <w:szCs w:val="24"/>
      <w:lang w:eastAsia="en-US"/>
    </w:rPr>
  </w:style>
  <w:style w:type="character" w:styleId="Hyperlink">
    <w:name w:val="Hyperlink"/>
    <w:uiPriority w:val="99"/>
    <w:unhideWhenUsed/>
    <w:rsid w:val="00437B45"/>
    <w:rPr>
      <w:color w:val="0000FF"/>
      <w:u w:val="single"/>
    </w:rPr>
  </w:style>
  <w:style w:type="paragraph" w:styleId="Header">
    <w:name w:val="header"/>
    <w:basedOn w:val="Normal"/>
    <w:link w:val="HeaderChar"/>
    <w:uiPriority w:val="99"/>
    <w:unhideWhenUsed/>
    <w:rsid w:val="003103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0392"/>
  </w:style>
  <w:style w:type="paragraph" w:styleId="Footer">
    <w:name w:val="footer"/>
    <w:basedOn w:val="Normal"/>
    <w:link w:val="FooterChar"/>
    <w:uiPriority w:val="99"/>
    <w:unhideWhenUsed/>
    <w:rsid w:val="003103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0392"/>
  </w:style>
  <w:style w:type="character" w:styleId="FollowedHyperlink">
    <w:name w:val="FollowedHyperlink"/>
    <w:uiPriority w:val="99"/>
    <w:semiHidden/>
    <w:unhideWhenUsed/>
    <w:rsid w:val="00F1405D"/>
    <w:rPr>
      <w:color w:val="800080"/>
      <w:u w:val="single"/>
    </w:rPr>
  </w:style>
  <w:style w:type="character" w:styleId="Mention">
    <w:name w:val="Mention"/>
    <w:uiPriority w:val="99"/>
    <w:semiHidden/>
    <w:unhideWhenUsed/>
    <w:rsid w:val="00083A30"/>
    <w:rPr>
      <w:color w:val="2B579A"/>
      <w:shd w:val="clear" w:color="auto" w:fill="E6E6E6"/>
    </w:rPr>
  </w:style>
  <w:style w:type="character" w:styleId="UnresolvedMention">
    <w:name w:val="Unresolved Mention"/>
    <w:uiPriority w:val="99"/>
    <w:semiHidden/>
    <w:unhideWhenUsed/>
    <w:rsid w:val="00BC7835"/>
    <w:rPr>
      <w:color w:val="605E5C"/>
      <w:shd w:val="clear" w:color="auto" w:fill="E1DFDD"/>
    </w:rPr>
  </w:style>
  <w:style w:type="paragraph" w:styleId="NormalWeb">
    <w:name w:val="Normal (Web)"/>
    <w:basedOn w:val="Normal"/>
    <w:uiPriority w:val="99"/>
    <w:semiHidden/>
    <w:unhideWhenUsed/>
    <w:rsid w:val="005952DD"/>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8121">
      <w:bodyDiv w:val="1"/>
      <w:marLeft w:val="0"/>
      <w:marRight w:val="0"/>
      <w:marTop w:val="0"/>
      <w:marBottom w:val="0"/>
      <w:divBdr>
        <w:top w:val="none" w:sz="0" w:space="0" w:color="auto"/>
        <w:left w:val="none" w:sz="0" w:space="0" w:color="auto"/>
        <w:bottom w:val="none" w:sz="0" w:space="0" w:color="auto"/>
        <w:right w:val="none" w:sz="0" w:space="0" w:color="auto"/>
      </w:divBdr>
      <w:divsChild>
        <w:div w:id="442773414">
          <w:marLeft w:val="0"/>
          <w:marRight w:val="0"/>
          <w:marTop w:val="0"/>
          <w:marBottom w:val="0"/>
          <w:divBdr>
            <w:top w:val="none" w:sz="0" w:space="0" w:color="auto"/>
            <w:left w:val="none" w:sz="0" w:space="0" w:color="auto"/>
            <w:bottom w:val="none" w:sz="0" w:space="0" w:color="auto"/>
            <w:right w:val="none" w:sz="0" w:space="0" w:color="auto"/>
          </w:divBdr>
          <w:divsChild>
            <w:div w:id="1480079024">
              <w:marLeft w:val="0"/>
              <w:marRight w:val="0"/>
              <w:marTop w:val="0"/>
              <w:marBottom w:val="0"/>
              <w:divBdr>
                <w:top w:val="none" w:sz="0" w:space="0" w:color="auto"/>
                <w:left w:val="none" w:sz="0" w:space="0" w:color="auto"/>
                <w:bottom w:val="none" w:sz="0" w:space="0" w:color="auto"/>
                <w:right w:val="none" w:sz="0" w:space="0" w:color="auto"/>
              </w:divBdr>
              <w:divsChild>
                <w:div w:id="109663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516514">
      <w:bodyDiv w:val="1"/>
      <w:marLeft w:val="0"/>
      <w:marRight w:val="0"/>
      <w:marTop w:val="0"/>
      <w:marBottom w:val="0"/>
      <w:divBdr>
        <w:top w:val="none" w:sz="0" w:space="0" w:color="auto"/>
        <w:left w:val="none" w:sz="0" w:space="0" w:color="auto"/>
        <w:bottom w:val="none" w:sz="0" w:space="0" w:color="auto"/>
        <w:right w:val="none" w:sz="0" w:space="0" w:color="auto"/>
      </w:divBdr>
      <w:divsChild>
        <w:div w:id="662859398">
          <w:marLeft w:val="0"/>
          <w:marRight w:val="0"/>
          <w:marTop w:val="0"/>
          <w:marBottom w:val="0"/>
          <w:divBdr>
            <w:top w:val="none" w:sz="0" w:space="0" w:color="auto"/>
            <w:left w:val="none" w:sz="0" w:space="0" w:color="auto"/>
            <w:bottom w:val="none" w:sz="0" w:space="0" w:color="auto"/>
            <w:right w:val="none" w:sz="0" w:space="0" w:color="auto"/>
          </w:divBdr>
          <w:divsChild>
            <w:div w:id="433135496">
              <w:marLeft w:val="0"/>
              <w:marRight w:val="0"/>
              <w:marTop w:val="0"/>
              <w:marBottom w:val="0"/>
              <w:divBdr>
                <w:top w:val="none" w:sz="0" w:space="0" w:color="auto"/>
                <w:left w:val="none" w:sz="0" w:space="0" w:color="auto"/>
                <w:bottom w:val="none" w:sz="0" w:space="0" w:color="auto"/>
                <w:right w:val="none" w:sz="0" w:space="0" w:color="auto"/>
              </w:divBdr>
              <w:divsChild>
                <w:div w:id="183592097">
                  <w:marLeft w:val="0"/>
                  <w:marRight w:val="0"/>
                  <w:marTop w:val="0"/>
                  <w:marBottom w:val="0"/>
                  <w:divBdr>
                    <w:top w:val="none" w:sz="0" w:space="0" w:color="auto"/>
                    <w:left w:val="none" w:sz="0" w:space="0" w:color="auto"/>
                    <w:bottom w:val="none" w:sz="0" w:space="0" w:color="auto"/>
                    <w:right w:val="none" w:sz="0" w:space="0" w:color="auto"/>
                  </w:divBdr>
                </w:div>
              </w:divsChild>
            </w:div>
            <w:div w:id="1096711117">
              <w:marLeft w:val="0"/>
              <w:marRight w:val="0"/>
              <w:marTop w:val="0"/>
              <w:marBottom w:val="0"/>
              <w:divBdr>
                <w:top w:val="none" w:sz="0" w:space="0" w:color="auto"/>
                <w:left w:val="none" w:sz="0" w:space="0" w:color="auto"/>
                <w:bottom w:val="none" w:sz="0" w:space="0" w:color="auto"/>
                <w:right w:val="none" w:sz="0" w:space="0" w:color="auto"/>
              </w:divBdr>
              <w:divsChild>
                <w:div w:id="110614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774269">
          <w:marLeft w:val="0"/>
          <w:marRight w:val="0"/>
          <w:marTop w:val="0"/>
          <w:marBottom w:val="0"/>
          <w:divBdr>
            <w:top w:val="none" w:sz="0" w:space="0" w:color="auto"/>
            <w:left w:val="none" w:sz="0" w:space="0" w:color="auto"/>
            <w:bottom w:val="none" w:sz="0" w:space="0" w:color="auto"/>
            <w:right w:val="none" w:sz="0" w:space="0" w:color="auto"/>
          </w:divBdr>
          <w:divsChild>
            <w:div w:id="587547295">
              <w:marLeft w:val="0"/>
              <w:marRight w:val="0"/>
              <w:marTop w:val="0"/>
              <w:marBottom w:val="0"/>
              <w:divBdr>
                <w:top w:val="none" w:sz="0" w:space="0" w:color="auto"/>
                <w:left w:val="none" w:sz="0" w:space="0" w:color="auto"/>
                <w:bottom w:val="none" w:sz="0" w:space="0" w:color="auto"/>
                <w:right w:val="none" w:sz="0" w:space="0" w:color="auto"/>
              </w:divBdr>
              <w:divsChild>
                <w:div w:id="61960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669751">
      <w:bodyDiv w:val="1"/>
      <w:marLeft w:val="0"/>
      <w:marRight w:val="0"/>
      <w:marTop w:val="0"/>
      <w:marBottom w:val="0"/>
      <w:divBdr>
        <w:top w:val="none" w:sz="0" w:space="0" w:color="auto"/>
        <w:left w:val="none" w:sz="0" w:space="0" w:color="auto"/>
        <w:bottom w:val="none" w:sz="0" w:space="0" w:color="auto"/>
        <w:right w:val="none" w:sz="0" w:space="0" w:color="auto"/>
      </w:divBdr>
      <w:divsChild>
        <w:div w:id="1117336472">
          <w:marLeft w:val="0"/>
          <w:marRight w:val="0"/>
          <w:marTop w:val="0"/>
          <w:marBottom w:val="0"/>
          <w:divBdr>
            <w:top w:val="none" w:sz="0" w:space="0" w:color="auto"/>
            <w:left w:val="none" w:sz="0" w:space="0" w:color="auto"/>
            <w:bottom w:val="none" w:sz="0" w:space="0" w:color="auto"/>
            <w:right w:val="none" w:sz="0" w:space="0" w:color="auto"/>
          </w:divBdr>
          <w:divsChild>
            <w:div w:id="1898667627">
              <w:marLeft w:val="0"/>
              <w:marRight w:val="0"/>
              <w:marTop w:val="0"/>
              <w:marBottom w:val="0"/>
              <w:divBdr>
                <w:top w:val="none" w:sz="0" w:space="0" w:color="auto"/>
                <w:left w:val="none" w:sz="0" w:space="0" w:color="auto"/>
                <w:bottom w:val="none" w:sz="0" w:space="0" w:color="auto"/>
                <w:right w:val="none" w:sz="0" w:space="0" w:color="auto"/>
              </w:divBdr>
              <w:divsChild>
                <w:div w:id="142700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59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icestershireandrutlandalc.gov.uk/uploads/practitioners-guide-2021-1.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2F160B1A62704DBDC0AC22B6FA6B46" ma:contentTypeVersion="13" ma:contentTypeDescription="Create a new document." ma:contentTypeScope="" ma:versionID="9348d2e15a8371ef754b60a7b28288e5">
  <xsd:schema xmlns:xsd="http://www.w3.org/2001/XMLSchema" xmlns:xs="http://www.w3.org/2001/XMLSchema" xmlns:p="http://schemas.microsoft.com/office/2006/metadata/properties" xmlns:ns2="179e3f07-31ab-45be-a345-8534b1ac0c69" xmlns:ns3="f0a8d02b-2d38-4fe2-ab13-eb735b152d23" targetNamespace="http://schemas.microsoft.com/office/2006/metadata/properties" ma:root="true" ma:fieldsID="e5eca23ca2ed6de0090fee47c3c27b63" ns2:_="" ns3:_="">
    <xsd:import namespace="179e3f07-31ab-45be-a345-8534b1ac0c69"/>
    <xsd:import namespace="f0a8d02b-2d38-4fe2-ab13-eb735b152d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e3f07-31ab-45be-a345-8534b1ac0c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0a8d02b-2d38-4fe2-ab13-eb735b152d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665A40-27B7-4649-8CA6-0513459E5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e3f07-31ab-45be-a345-8534b1ac0c69"/>
    <ds:schemaRef ds:uri="f0a8d02b-2d38-4fe2-ab13-eb735b152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4C2E66-CC2C-49B3-B806-D7589219CD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E5DD4C-14E0-4D5D-A8CE-A01C8A830F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1024</Words>
  <Characters>5841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6852</CharactersWithSpaces>
  <SharedDoc>false</SharedDoc>
  <HLinks>
    <vt:vector size="6" baseType="variant">
      <vt:variant>
        <vt:i4>7340132</vt:i4>
      </vt:variant>
      <vt:variant>
        <vt:i4>0</vt:i4>
      </vt:variant>
      <vt:variant>
        <vt:i4>0</vt:i4>
      </vt:variant>
      <vt:variant>
        <vt:i4>5</vt:i4>
      </vt:variant>
      <vt:variant>
        <vt:lpwstr>https://www.northantscalc.com/uploads/practitioners-guide-2019.pdf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Moody</dc:creator>
  <cp:keywords/>
  <cp:lastModifiedBy>Greetham</cp:lastModifiedBy>
  <cp:revision>2</cp:revision>
  <cp:lastPrinted>2011-12-15T14:57:00Z</cp:lastPrinted>
  <dcterms:created xsi:type="dcterms:W3CDTF">2022-05-06T07:06:00Z</dcterms:created>
  <dcterms:modified xsi:type="dcterms:W3CDTF">2022-05-06T07:06:00Z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0x010100DF2F160B1A62704DBDC0AC22B6FA6B46</vt:lpwstr>
  </property>
</Properties>
</file>